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51E61058"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w:t>
      </w:r>
      <w:r w:rsidR="00403632">
        <w:rPr>
          <w:rFonts w:cstheme="majorHAnsi"/>
          <w:color w:val="auto"/>
          <w:sz w:val="24"/>
          <w:szCs w:val="24"/>
        </w:rPr>
        <w:t>I</w:t>
      </w:r>
      <w:r w:rsidRPr="00756063">
        <w:rPr>
          <w:rFonts w:cstheme="majorHAnsi"/>
          <w:color w:val="auto"/>
          <w:sz w:val="24"/>
          <w:szCs w:val="24"/>
        </w:rPr>
        <w:t xml:space="preserve"> USTNYM PRZETARGU NIEOGRANICZONYM NA ODDANIE W NAJEM NA CZAS NIEOZNACZONY LOKALU UŻYTKOWEGO POŁOŻONEGO NA TERENIE MIASTA PIOTRKOWA TRYBUNALSKIEGO PRZY ULICY</w:t>
      </w:r>
      <w:r w:rsidR="00A12862">
        <w:rPr>
          <w:rFonts w:cstheme="majorHAnsi"/>
          <w:color w:val="auto"/>
          <w:sz w:val="24"/>
          <w:szCs w:val="24"/>
        </w:rPr>
        <w:t xml:space="preserve"> ZAMUROWEJ 16</w:t>
      </w:r>
    </w:p>
    <w:p w14:paraId="23477F6F" w14:textId="6F3F7CEA"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00A12862">
        <w:rPr>
          <w:rFonts w:cstheme="majorHAnsi"/>
          <w:color w:val="auto"/>
        </w:rPr>
        <w:t>Zamurowej</w:t>
      </w:r>
      <w:proofErr w:type="spellEnd"/>
      <w:r w:rsidR="00A12862">
        <w:rPr>
          <w:rFonts w:cstheme="majorHAnsi"/>
          <w:color w:val="auto"/>
        </w:rPr>
        <w:t xml:space="preserve"> 16</w:t>
      </w:r>
      <w:r w:rsidRPr="00756063">
        <w:rPr>
          <w:rFonts w:cstheme="majorHAnsi"/>
          <w:color w:val="auto"/>
        </w:rPr>
        <w:t xml:space="preserve"> na nieruchomości stanowiącej własność gminy Miasto Piotrków Trybunalski, oznaczonej nr działki 18</w:t>
      </w:r>
      <w:r w:rsidR="00A12862">
        <w:rPr>
          <w:rFonts w:cstheme="majorHAnsi"/>
          <w:color w:val="auto"/>
        </w:rPr>
        <w:t>4</w:t>
      </w:r>
      <w:r w:rsidRPr="00756063">
        <w:rPr>
          <w:rFonts w:cstheme="majorHAnsi"/>
          <w:color w:val="auto"/>
        </w:rPr>
        <w:t xml:space="preserve"> o powierzchni działki 1</w:t>
      </w:r>
      <w:r w:rsidR="00A12862">
        <w:rPr>
          <w:rFonts w:cstheme="majorHAnsi"/>
          <w:color w:val="auto"/>
        </w:rPr>
        <w:t>200</w:t>
      </w:r>
      <w:r w:rsidRPr="00756063">
        <w:rPr>
          <w:rFonts w:cstheme="majorHAnsi"/>
          <w:color w:val="auto"/>
        </w:rPr>
        <w:t xml:space="preserve"> m2, dla której prowadzona jest Księga Wieczysta nr PT1P/000</w:t>
      </w:r>
      <w:r w:rsidR="00A12862">
        <w:rPr>
          <w:rFonts w:cstheme="majorHAnsi"/>
          <w:color w:val="auto"/>
        </w:rPr>
        <w:t>04023</w:t>
      </w:r>
      <w:r w:rsidRPr="00756063">
        <w:rPr>
          <w:rFonts w:cstheme="majorHAnsi"/>
          <w:color w:val="auto"/>
        </w:rPr>
        <w:t>/</w:t>
      </w:r>
      <w:r w:rsidR="00A12862">
        <w:rPr>
          <w:rFonts w:cstheme="majorHAnsi"/>
          <w:color w:val="auto"/>
        </w:rPr>
        <w:t>1.</w:t>
      </w:r>
    </w:p>
    <w:p w14:paraId="163E6BDF" w14:textId="5E610EB5"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A12862">
        <w:rPr>
          <w:rFonts w:cstheme="majorHAnsi"/>
          <w:color w:val="auto"/>
        </w:rPr>
        <w:t>15,90</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FA7629" w:rsidRDefault="00F726F0" w:rsidP="003012FE">
      <w:pPr>
        <w:pStyle w:val="Nagwek3"/>
        <w:keepNext w:val="0"/>
        <w:keepLines w:val="0"/>
        <w:numPr>
          <w:ilvl w:val="0"/>
          <w:numId w:val="6"/>
        </w:numPr>
        <w:spacing w:before="120" w:line="360" w:lineRule="auto"/>
        <w:rPr>
          <w:rFonts w:ascii="Calibri Light" w:hAnsi="Calibri Light" w:cs="Calibri Light"/>
          <w:color w:val="auto"/>
        </w:rPr>
      </w:pPr>
      <w:r w:rsidRPr="00756063">
        <w:rPr>
          <w:rFonts w:cstheme="majorHAnsi"/>
          <w:color w:val="auto"/>
        </w:rPr>
        <w:t xml:space="preserve">Lokal przeznaczony tylko na działalność gospodarczą nieuciążliwą dla mieszkańców </w:t>
      </w:r>
      <w:r w:rsidRPr="00FA7629">
        <w:rPr>
          <w:rFonts w:ascii="Calibri Light" w:hAnsi="Calibri Light" w:cs="Calibri Light"/>
          <w:color w:val="auto"/>
        </w:rPr>
        <w:t>budynku z wyłączeniem handlu odzieżą używaną.</w:t>
      </w:r>
    </w:p>
    <w:p w14:paraId="4F2163E8" w14:textId="218784C9" w:rsidR="00403632" w:rsidRPr="00FA7629" w:rsidRDefault="00F726F0" w:rsidP="00403632">
      <w:pPr>
        <w:pStyle w:val="Nagwek3"/>
        <w:keepNext w:val="0"/>
        <w:keepLines w:val="0"/>
        <w:numPr>
          <w:ilvl w:val="0"/>
          <w:numId w:val="6"/>
        </w:numPr>
        <w:spacing w:before="120" w:line="360" w:lineRule="auto"/>
        <w:rPr>
          <w:rFonts w:ascii="Calibri Light" w:hAnsi="Calibri Light" w:cs="Calibri Light"/>
          <w:color w:val="auto"/>
        </w:rPr>
      </w:pPr>
      <w:r w:rsidRPr="00FA7629">
        <w:rPr>
          <w:rFonts w:ascii="Calibri Light" w:hAnsi="Calibri Light" w:cs="Calibri Light"/>
          <w:color w:val="auto"/>
        </w:rPr>
        <w:t xml:space="preserve">Przetarg odbędzie się w siedzibie Towarzystwa Budownictwa Społecznego Spółka z o.o. w Piotrkowie Trybunalskim, Al. 3 Maja 31 w dniu </w:t>
      </w:r>
      <w:r w:rsidR="00403632" w:rsidRPr="00FA7629">
        <w:rPr>
          <w:rFonts w:ascii="Calibri Light" w:hAnsi="Calibri Light" w:cs="Calibri Light"/>
          <w:color w:val="auto"/>
        </w:rPr>
        <w:t>29</w:t>
      </w:r>
      <w:r w:rsidRPr="00FA7629">
        <w:rPr>
          <w:rFonts w:ascii="Calibri Light" w:hAnsi="Calibri Light" w:cs="Calibri Light"/>
          <w:color w:val="auto"/>
        </w:rPr>
        <w:t xml:space="preserve"> </w:t>
      </w:r>
      <w:r w:rsidR="00403632" w:rsidRPr="00FA7629">
        <w:rPr>
          <w:rFonts w:ascii="Calibri Light" w:hAnsi="Calibri Light" w:cs="Calibri Light"/>
          <w:color w:val="auto"/>
        </w:rPr>
        <w:t>lipca</w:t>
      </w:r>
      <w:r w:rsidRPr="00FA7629">
        <w:rPr>
          <w:rFonts w:ascii="Calibri Light" w:hAnsi="Calibri Light" w:cs="Calibri Light"/>
          <w:color w:val="auto"/>
        </w:rPr>
        <w:t xml:space="preserve"> 2021 r. o godzinie </w:t>
      </w:r>
      <w:r w:rsidR="00AB00F3" w:rsidRPr="00FA7629">
        <w:rPr>
          <w:rFonts w:ascii="Calibri Light" w:hAnsi="Calibri Light" w:cs="Calibri Light"/>
          <w:color w:val="auto"/>
        </w:rPr>
        <w:t>9:</w:t>
      </w:r>
      <w:r w:rsidRPr="00FA7629">
        <w:rPr>
          <w:rFonts w:ascii="Calibri Light" w:hAnsi="Calibri Light" w:cs="Calibri Light"/>
          <w:color w:val="auto"/>
        </w:rPr>
        <w:t>00 świetlica – Budynek B.</w:t>
      </w:r>
    </w:p>
    <w:p w14:paraId="66FDDB8C" w14:textId="7D664582" w:rsidR="00403632" w:rsidRPr="00FA7629" w:rsidRDefault="00403632" w:rsidP="00403632">
      <w:pPr>
        <w:pStyle w:val="Akapitzlist"/>
        <w:rPr>
          <w:rFonts w:ascii="Calibri Light" w:hAnsi="Calibri Light" w:cs="Calibri Light"/>
          <w:sz w:val="24"/>
          <w:szCs w:val="24"/>
        </w:rPr>
      </w:pPr>
      <w:r w:rsidRPr="00FA7629">
        <w:rPr>
          <w:rFonts w:ascii="Calibri Light" w:hAnsi="Calibri Light" w:cs="Calibri Light"/>
          <w:sz w:val="24"/>
          <w:szCs w:val="24"/>
        </w:rPr>
        <w:t>Przeprowadzone przetargi na oddanie w najem przedmiotowego lokalu użytkowego : pierwszy przetarg w dniu 24.06.2021 r. zakończony został wynikiem negatywnym.</w:t>
      </w:r>
    </w:p>
    <w:p w14:paraId="163A85C6" w14:textId="1ADD4B51"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FA7629">
        <w:rPr>
          <w:rFonts w:ascii="Calibri Light" w:hAnsi="Calibri Light" w:cs="Calibri Light"/>
          <w:color w:val="auto"/>
        </w:rPr>
        <w:t xml:space="preserve">Cena wywoławcza: </w:t>
      </w:r>
      <w:r w:rsidR="00403632" w:rsidRPr="00FA7629">
        <w:rPr>
          <w:rFonts w:ascii="Calibri Light" w:hAnsi="Calibri Light" w:cs="Calibri Light"/>
          <w:color w:val="auto"/>
        </w:rPr>
        <w:t>3.816,00</w:t>
      </w:r>
      <w:r w:rsidRPr="00FA7629">
        <w:rPr>
          <w:rFonts w:ascii="Calibri Light" w:hAnsi="Calibri Light" w:cs="Calibri Light"/>
          <w:color w:val="auto"/>
        </w:rPr>
        <w:t xml:space="preserve"> zł - jako suma czynszu netto ustalona dla lokalu za okres</w:t>
      </w:r>
      <w:r w:rsidRPr="00756063">
        <w:rPr>
          <w:rFonts w:cstheme="majorHAnsi"/>
          <w:color w:val="auto"/>
        </w:rPr>
        <w:t xml:space="preserve"> 12 miesięcy.</w:t>
      </w:r>
    </w:p>
    <w:p w14:paraId="253DE461" w14:textId="0F0922C4"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wynosi: </w:t>
      </w:r>
      <w:r w:rsidR="000E7F3F">
        <w:rPr>
          <w:rFonts w:cstheme="majorHAnsi"/>
          <w:color w:val="auto"/>
        </w:rPr>
        <w:t>763,20</w:t>
      </w:r>
      <w:r w:rsidRPr="00756063">
        <w:rPr>
          <w:rFonts w:cstheme="majorHAnsi"/>
          <w:color w:val="auto"/>
        </w:rPr>
        <w:t xml:space="preserve"> zł, (słownie złotych: </w:t>
      </w:r>
      <w:r w:rsidR="000E7F3F">
        <w:rPr>
          <w:rFonts w:cstheme="majorHAnsi"/>
          <w:color w:val="auto"/>
        </w:rPr>
        <w:t>siedemset sześćdziesiąt trzy</w:t>
      </w:r>
      <w:r w:rsidR="00127F93">
        <w:rPr>
          <w:rFonts w:cstheme="majorHAnsi"/>
          <w:color w:val="auto"/>
        </w:rPr>
        <w:t xml:space="preserve"> </w:t>
      </w:r>
      <w:r w:rsidRPr="00756063">
        <w:rPr>
          <w:rFonts w:cstheme="majorHAnsi"/>
          <w:color w:val="auto"/>
        </w:rPr>
        <w:t>złot</w:t>
      </w:r>
      <w:r w:rsidR="00127F93">
        <w:rPr>
          <w:rFonts w:cstheme="majorHAnsi"/>
          <w:color w:val="auto"/>
        </w:rPr>
        <w:t>e</w:t>
      </w:r>
      <w:r w:rsidRPr="00756063">
        <w:rPr>
          <w:rFonts w:cstheme="majorHAnsi"/>
          <w:color w:val="auto"/>
        </w:rPr>
        <w:t xml:space="preserve"> </w:t>
      </w:r>
      <w:r w:rsidR="000E7F3F">
        <w:rPr>
          <w:rFonts w:cstheme="majorHAnsi"/>
          <w:color w:val="auto"/>
        </w:rPr>
        <w:t>2</w:t>
      </w:r>
      <w:r w:rsidR="00127F93">
        <w:rPr>
          <w:rFonts w:cstheme="majorHAnsi"/>
          <w:color w:val="auto"/>
        </w:rPr>
        <w:t>0</w:t>
      </w:r>
      <w:r w:rsidRPr="00756063">
        <w:rPr>
          <w:rFonts w:cstheme="majorHAnsi"/>
          <w:color w:val="auto"/>
        </w:rPr>
        <w:t xml:space="preserve">/100), i musi znajdować się na rachunku bankowym TBS Sp. z o.o. w Piotrkowie Trybunalskim prowadzonym w: ESBANK Bank Spółdzielczy nr konta 13 8980 0009 2018 0055 4907 0001 w terminie do dnia </w:t>
      </w:r>
      <w:r w:rsidR="000E7F3F">
        <w:rPr>
          <w:rFonts w:cstheme="majorHAnsi"/>
          <w:color w:val="auto"/>
        </w:rPr>
        <w:t>23</w:t>
      </w:r>
      <w:r w:rsidRPr="00756063">
        <w:rPr>
          <w:rFonts w:cstheme="majorHAnsi"/>
          <w:color w:val="auto"/>
        </w:rPr>
        <w:t>.0</w:t>
      </w:r>
      <w:r w:rsidR="000E7F3F">
        <w:rPr>
          <w:rFonts w:cstheme="majorHAnsi"/>
          <w:color w:val="auto"/>
        </w:rPr>
        <w:t>7</w:t>
      </w:r>
      <w:r w:rsidRPr="00756063">
        <w:rPr>
          <w:rFonts w:cstheme="majorHAnsi"/>
          <w:color w:val="auto"/>
        </w:rPr>
        <w:t xml:space="preserve">.2021 r. (włącznie) przy czym wpłata wadium nie powoduje naliczenia odsetek od wpłaconej kwoty. Za termin wniesienia wadium uważa się datę wpływu środków pieniężnych na wyżej wymieniony numer rachunku bankowego. Wadium można </w:t>
      </w:r>
      <w:r w:rsidRPr="00756063">
        <w:rPr>
          <w:rFonts w:cstheme="majorHAnsi"/>
          <w:color w:val="auto"/>
        </w:rPr>
        <w:lastRenderedPageBreak/>
        <w:t>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B4E7347"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 terminie do dnia </w:t>
      </w:r>
      <w:r w:rsidR="000E7F3F">
        <w:rPr>
          <w:rFonts w:cstheme="majorHAnsi"/>
          <w:color w:val="auto"/>
        </w:rPr>
        <w:t>23</w:t>
      </w:r>
      <w:r w:rsidRPr="00756063">
        <w:rPr>
          <w:rFonts w:cstheme="majorHAnsi"/>
          <w:color w:val="auto"/>
        </w:rPr>
        <w:t xml:space="preserve"> </w:t>
      </w:r>
      <w:r w:rsidR="000E7F3F">
        <w:rPr>
          <w:rFonts w:cstheme="majorHAnsi"/>
          <w:color w:val="auto"/>
        </w:rPr>
        <w:t>lipca</w:t>
      </w:r>
      <w:r w:rsidRPr="00756063">
        <w:rPr>
          <w:rFonts w:cstheme="majorHAnsi"/>
          <w:color w:val="auto"/>
        </w:rPr>
        <w:t xml:space="preserve"> 2021 roku do godziny 12</w:t>
      </w:r>
      <w:r w:rsidR="00AB00F3">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1C1F4D2E" w:rsidR="00F726F0" w:rsidRPr="00756063" w:rsidRDefault="00F726F0" w:rsidP="00677FB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65A6DF9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w:t>
      </w:r>
      <w:r w:rsidR="00127F93">
        <w:rPr>
          <w:rFonts w:cstheme="majorHAnsi"/>
          <w:color w:val="auto"/>
          <w:sz w:val="24"/>
          <w:szCs w:val="24"/>
        </w:rPr>
        <w:t>70</w:t>
      </w:r>
      <w:r w:rsidRPr="00756063">
        <w:rPr>
          <w:rFonts w:cstheme="majorHAnsi"/>
          <w:color w:val="auto"/>
          <w:sz w:val="24"/>
          <w:szCs w:val="24"/>
        </w:rPr>
        <w:t>-</w:t>
      </w:r>
      <w:r w:rsidR="00127F93">
        <w:rPr>
          <w:rFonts w:cstheme="majorHAnsi"/>
          <w:color w:val="auto"/>
          <w:sz w:val="24"/>
          <w:szCs w:val="24"/>
        </w:rPr>
        <w:t>63</w:t>
      </w:r>
      <w:r w:rsidRPr="00756063">
        <w:rPr>
          <w:rFonts w:cstheme="majorHAnsi"/>
          <w:color w:val="auto"/>
          <w:sz w:val="24"/>
          <w:szCs w:val="24"/>
        </w:rPr>
        <w:t>).</w:t>
      </w:r>
    </w:p>
    <w:p w14:paraId="167399B6" w14:textId="3BA95C16"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Ofertę wraz z wymaganymi załącznikami, należy złożyć w zaklejonej kopercie z podaną nazwą i adresem Oferenta, z dopiskiem: Oferta do I</w:t>
      </w:r>
      <w:r w:rsidR="000E7F3F">
        <w:rPr>
          <w:rFonts w:cstheme="majorHAnsi"/>
          <w:color w:val="auto"/>
        </w:rPr>
        <w:t>I</w:t>
      </w:r>
      <w:r w:rsidRPr="00756063">
        <w:rPr>
          <w:rFonts w:cstheme="majorHAnsi"/>
          <w:color w:val="auto"/>
        </w:rPr>
        <w:t xml:space="preserve"> ustnego przetargu nieograniczonego na najem lokalu użytkowego położonego w Piotrkowie Tryb.,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o pow. </w:t>
      </w:r>
      <w:r w:rsidR="00127F93">
        <w:rPr>
          <w:rFonts w:cstheme="majorHAnsi"/>
          <w:color w:val="auto"/>
        </w:rPr>
        <w:t>15,90</w:t>
      </w:r>
      <w:r w:rsidRPr="00756063">
        <w:rPr>
          <w:rFonts w:cstheme="majorHAnsi"/>
          <w:color w:val="auto"/>
        </w:rPr>
        <w:t xml:space="preserve"> m2.</w:t>
      </w:r>
    </w:p>
    <w:p w14:paraId="2CE4FFCE" w14:textId="35EDE6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w:t>
      </w:r>
      <w:r w:rsidR="00ED200F">
        <w:rPr>
          <w:rFonts w:cstheme="majorHAnsi"/>
          <w:color w:val="auto"/>
        </w:rPr>
        <w:t xml:space="preserve">ul.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w:t>
      </w:r>
      <w:r w:rsidR="00127F93">
        <w:rPr>
          <w:rFonts w:cstheme="majorHAnsi"/>
          <w:color w:val="auto"/>
        </w:rPr>
        <w:t>70-63</w:t>
      </w:r>
      <w:r w:rsidRPr="00756063">
        <w:rPr>
          <w:rFonts w:cstheme="majorHAnsi"/>
          <w:color w:val="auto"/>
        </w:rPr>
        <w:t>.</w:t>
      </w:r>
    </w:p>
    <w:p w14:paraId="7F0D28D5" w14:textId="385984F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w:t>
      </w:r>
      <w:r w:rsidR="00ED200F">
        <w:rPr>
          <w:rFonts w:cstheme="majorHAnsi"/>
          <w:color w:val="auto"/>
        </w:rPr>
        <w:t xml:space="preserve">ul.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AB00F3">
        <w:rPr>
          <w:rFonts w:cstheme="majorHAnsi"/>
          <w:color w:val="auto"/>
        </w:rPr>
        <w:t>:</w:t>
      </w:r>
      <w:r w:rsidRPr="00756063">
        <w:rPr>
          <w:rFonts w:cstheme="majorHAnsi"/>
          <w:color w:val="auto"/>
        </w:rPr>
        <w:t>00 do 15</w:t>
      </w:r>
      <w:r w:rsidR="00AB00F3">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77C364E0"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 xml:space="preserve">I przetargu ustnego nieograniczonego na oddanie w najem lokalu użytkowego położonego w Piotrkowie Trybunalskim przy ulicy </w:t>
      </w:r>
      <w:proofErr w:type="spellStart"/>
      <w:r w:rsidR="00127F93">
        <w:rPr>
          <w:rFonts w:cstheme="majorHAnsi"/>
          <w:color w:val="auto"/>
          <w:sz w:val="24"/>
          <w:szCs w:val="24"/>
        </w:rPr>
        <w:t>Zamurowej</w:t>
      </w:r>
      <w:proofErr w:type="spellEnd"/>
      <w:r w:rsidR="00127F93">
        <w:rPr>
          <w:rFonts w:cstheme="majorHAnsi"/>
          <w:color w:val="auto"/>
          <w:sz w:val="24"/>
          <w:szCs w:val="24"/>
        </w:rPr>
        <w:t xml:space="preserve"> 16</w:t>
      </w:r>
      <w:r w:rsidRPr="00756063">
        <w:rPr>
          <w:rFonts w:cstheme="majorHAnsi"/>
          <w:color w:val="auto"/>
          <w:sz w:val="24"/>
          <w:szCs w:val="24"/>
        </w:rPr>
        <w:t xml:space="preserve">, o powierzchni użytkowej </w:t>
      </w:r>
      <w:r w:rsidR="00127F93">
        <w:rPr>
          <w:rFonts w:cstheme="majorHAnsi"/>
          <w:color w:val="auto"/>
          <w:sz w:val="24"/>
          <w:szCs w:val="24"/>
        </w:rPr>
        <w:t>15,90</w:t>
      </w:r>
      <w:r w:rsidRPr="00756063">
        <w:rPr>
          <w:rFonts w:cstheme="majorHAnsi"/>
          <w:color w:val="auto"/>
          <w:sz w:val="24"/>
          <w:szCs w:val="24"/>
        </w:rPr>
        <w:t xml:space="preserve"> m2.</w:t>
      </w:r>
    </w:p>
    <w:p w14:paraId="07219D9F" w14:textId="3621C63A"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w:t>
      </w:r>
      <w:r w:rsidR="00014DF7">
        <w:rPr>
          <w:rFonts w:cstheme="majorHAnsi"/>
          <w:color w:val="auto"/>
          <w:sz w:val="24"/>
          <w:szCs w:val="24"/>
        </w:rPr>
        <w:t>2</w:t>
      </w:r>
      <w:r w:rsidR="005B699C">
        <w:rPr>
          <w:rFonts w:cstheme="majorHAnsi"/>
          <w:color w:val="auto"/>
          <w:sz w:val="24"/>
          <w:szCs w:val="24"/>
        </w:rPr>
        <w:t>9</w:t>
      </w:r>
      <w:r w:rsidRPr="00756063">
        <w:rPr>
          <w:rFonts w:cstheme="majorHAnsi"/>
          <w:color w:val="auto"/>
          <w:sz w:val="24"/>
          <w:szCs w:val="24"/>
        </w:rPr>
        <w:t xml:space="preserve"> </w:t>
      </w:r>
      <w:r w:rsidR="005B699C">
        <w:rPr>
          <w:rFonts w:cstheme="majorHAnsi"/>
          <w:color w:val="auto"/>
          <w:sz w:val="24"/>
          <w:szCs w:val="24"/>
        </w:rPr>
        <w:t>lipca</w:t>
      </w:r>
      <w:r w:rsidRPr="00756063">
        <w:rPr>
          <w:rFonts w:cstheme="majorHAnsi"/>
          <w:color w:val="auto"/>
          <w:sz w:val="24"/>
          <w:szCs w:val="24"/>
        </w:rPr>
        <w:t xml:space="preserve"> 2021 r., godzina </w:t>
      </w:r>
      <w:r w:rsidR="00677FBF">
        <w:rPr>
          <w:rFonts w:cstheme="majorHAnsi"/>
          <w:color w:val="auto"/>
          <w:sz w:val="24"/>
          <w:szCs w:val="24"/>
        </w:rPr>
        <w:t>9:</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0364A51B"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014DF7">
        <w:rPr>
          <w:rFonts w:cstheme="majorHAnsi"/>
          <w:i w:val="0"/>
          <w:iCs w:val="0"/>
          <w:color w:val="auto"/>
          <w:sz w:val="24"/>
          <w:szCs w:val="24"/>
        </w:rPr>
        <w:t>15,90</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41F717B1"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w:t>
      </w:r>
    </w:p>
    <w:p w14:paraId="462652D9" w14:textId="421D6AB9"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powierzchni użytkowej: </w:t>
      </w:r>
      <w:r w:rsidR="00014DF7">
        <w:rPr>
          <w:rFonts w:cstheme="majorHAnsi"/>
          <w:color w:val="auto"/>
          <w:sz w:val="24"/>
          <w:szCs w:val="24"/>
        </w:rPr>
        <w:t>15,90</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21C99DC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5B699C">
        <w:rPr>
          <w:rFonts w:cstheme="majorHAnsi"/>
          <w:i w:val="0"/>
          <w:iCs w:val="0"/>
          <w:color w:val="auto"/>
          <w:sz w:val="24"/>
          <w:szCs w:val="24"/>
        </w:rPr>
        <w:t>3.816,00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3C05DC76"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Warunkiem uczestnictwa w przetargu jest wniesienie wadium w pieniądzu: </w:t>
      </w:r>
      <w:r w:rsidR="005B699C">
        <w:rPr>
          <w:rFonts w:cstheme="majorHAnsi"/>
          <w:i w:val="0"/>
          <w:iCs w:val="0"/>
          <w:color w:val="auto"/>
          <w:sz w:val="24"/>
          <w:szCs w:val="24"/>
        </w:rPr>
        <w:t>763,20</w:t>
      </w:r>
      <w:r w:rsidRPr="00756063">
        <w:rPr>
          <w:rFonts w:cstheme="majorHAnsi"/>
          <w:i w:val="0"/>
          <w:iCs w:val="0"/>
          <w:color w:val="auto"/>
          <w:sz w:val="24"/>
          <w:szCs w:val="24"/>
        </w:rPr>
        <w:t xml:space="preserve"> zł, /słownie złotych: </w:t>
      </w:r>
      <w:r w:rsidR="005B699C">
        <w:rPr>
          <w:rFonts w:cstheme="majorHAnsi"/>
          <w:i w:val="0"/>
          <w:iCs w:val="0"/>
          <w:color w:val="auto"/>
          <w:sz w:val="24"/>
          <w:szCs w:val="24"/>
        </w:rPr>
        <w:t>siedemset sześćdziesiąt trzy</w:t>
      </w:r>
      <w:r w:rsidR="00014DF7">
        <w:rPr>
          <w:rFonts w:cstheme="majorHAnsi"/>
          <w:i w:val="0"/>
          <w:iCs w:val="0"/>
          <w:color w:val="auto"/>
          <w:sz w:val="24"/>
          <w:szCs w:val="24"/>
        </w:rPr>
        <w:t xml:space="preserve"> </w:t>
      </w:r>
      <w:r w:rsidRPr="00756063">
        <w:rPr>
          <w:rFonts w:cstheme="majorHAnsi"/>
          <w:i w:val="0"/>
          <w:iCs w:val="0"/>
          <w:color w:val="auto"/>
          <w:sz w:val="24"/>
          <w:szCs w:val="24"/>
        </w:rPr>
        <w:t>złot</w:t>
      </w:r>
      <w:r w:rsidR="00014DF7">
        <w:rPr>
          <w:rFonts w:cstheme="majorHAnsi"/>
          <w:i w:val="0"/>
          <w:iCs w:val="0"/>
          <w:color w:val="auto"/>
          <w:sz w:val="24"/>
          <w:szCs w:val="24"/>
        </w:rPr>
        <w:t>e</w:t>
      </w:r>
      <w:r w:rsidRPr="00756063">
        <w:rPr>
          <w:rFonts w:cstheme="majorHAnsi"/>
          <w:i w:val="0"/>
          <w:iCs w:val="0"/>
          <w:color w:val="auto"/>
          <w:sz w:val="24"/>
          <w:szCs w:val="24"/>
        </w:rPr>
        <w:t xml:space="preserve"> </w:t>
      </w:r>
      <w:r w:rsidR="005B699C">
        <w:rPr>
          <w:rFonts w:cstheme="majorHAnsi"/>
          <w:i w:val="0"/>
          <w:iCs w:val="0"/>
          <w:color w:val="auto"/>
          <w:sz w:val="24"/>
          <w:szCs w:val="24"/>
        </w:rPr>
        <w:t>2</w:t>
      </w:r>
      <w:r w:rsidR="00014DF7">
        <w:rPr>
          <w:rFonts w:cstheme="majorHAnsi"/>
          <w:i w:val="0"/>
          <w:iCs w:val="0"/>
          <w:color w:val="auto"/>
          <w:sz w:val="24"/>
          <w:szCs w:val="24"/>
        </w:rPr>
        <w:t>0</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59DCF34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014DF7">
        <w:rPr>
          <w:rFonts w:cstheme="majorHAnsi"/>
          <w:i w:val="0"/>
          <w:iCs w:val="0"/>
          <w:color w:val="auto"/>
          <w:sz w:val="24"/>
          <w:szCs w:val="24"/>
        </w:rPr>
        <w:t>15,90</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8FE213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77FBF">
        <w:rPr>
          <w:rFonts w:cstheme="majorHAnsi"/>
          <w:i w:val="0"/>
          <w:iCs w:val="0"/>
          <w:color w:val="auto"/>
          <w:sz w:val="24"/>
          <w:szCs w:val="24"/>
        </w:rPr>
        <w:t>-</w:t>
      </w:r>
      <w:r w:rsidRPr="00756063">
        <w:rPr>
          <w:rFonts w:cstheme="majorHAnsi"/>
          <w:i w:val="0"/>
          <w:iCs w:val="0"/>
          <w:color w:val="auto"/>
          <w:sz w:val="24"/>
          <w:szCs w:val="24"/>
        </w:rPr>
        <w:t>37</w:t>
      </w:r>
      <w:r w:rsidR="00677FBF">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3082AA78"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w:t>
      </w:r>
      <w:r w:rsidR="005B699C">
        <w:rPr>
          <w:rFonts w:cstheme="majorHAnsi"/>
          <w:i w:val="0"/>
          <w:iCs w:val="0"/>
          <w:color w:val="auto"/>
          <w:sz w:val="24"/>
          <w:szCs w:val="24"/>
        </w:rPr>
        <w:t xml:space="preserve">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51E1A481"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 DOM" Spółka z o.o. w Piotrkowie Trybunalskim, 97-300 Piotrków Trybunalski, </w:t>
      </w:r>
      <w:r w:rsidR="005B699C">
        <w:rPr>
          <w:rFonts w:cstheme="majorHAnsi"/>
          <w:i w:val="0"/>
          <w:iCs w:val="0"/>
          <w:color w:val="auto"/>
          <w:sz w:val="24"/>
          <w:szCs w:val="24"/>
        </w:rPr>
        <w:t xml:space="preserve">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606795">
        <w:rPr>
          <w:rFonts w:cstheme="majorHAnsi"/>
          <w:i w:val="0"/>
          <w:iCs w:val="0"/>
          <w:color w:val="auto"/>
          <w:sz w:val="24"/>
          <w:szCs w:val="24"/>
        </w:rPr>
        <w:t>:</w:t>
      </w:r>
      <w:r w:rsidRPr="00756063">
        <w:rPr>
          <w:rFonts w:cstheme="majorHAnsi"/>
          <w:i w:val="0"/>
          <w:iCs w:val="0"/>
          <w:color w:val="auto"/>
          <w:sz w:val="24"/>
          <w:szCs w:val="24"/>
        </w:rPr>
        <w:t>00 do 15</w:t>
      </w:r>
      <w:r w:rsidR="00606795">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756063">
        <w:rPr>
          <w:rFonts w:cstheme="majorHAnsi"/>
          <w:i w:val="0"/>
          <w:iCs w:val="0"/>
          <w:color w:val="auto"/>
          <w:sz w:val="24"/>
          <w:szCs w:val="24"/>
        </w:rPr>
        <w:lastRenderedPageBreak/>
        <w:t xml:space="preserve">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263155F2"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42E59E0E"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7DED4BF5" w14:textId="26A5C21F" w:rsidR="006842B1" w:rsidRPr="006842B1" w:rsidRDefault="006842B1" w:rsidP="006842B1">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61FC77C"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w:t>
      </w:r>
      <w:r w:rsidR="006842B1">
        <w:rPr>
          <w:rFonts w:cstheme="majorHAnsi"/>
          <w:color w:val="auto"/>
          <w:sz w:val="24"/>
          <w:szCs w:val="24"/>
        </w:rPr>
        <w:t xml:space="preserve"> </w:t>
      </w:r>
      <w:r w:rsidRPr="00756063">
        <w:rPr>
          <w:rFonts w:cstheme="majorHAnsi"/>
          <w:color w:val="auto"/>
          <w:sz w:val="24"/>
          <w:szCs w:val="24"/>
        </w:rPr>
        <w:t>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D2BFADD"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174CA4D9"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6842B1">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1695C94D"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 xml:space="preserve"> o pow. </w:t>
      </w:r>
      <w:r w:rsidR="00014DF7">
        <w:rPr>
          <w:rFonts w:cstheme="majorHAnsi"/>
          <w:color w:val="auto"/>
          <w:sz w:val="24"/>
          <w:szCs w:val="24"/>
        </w:rPr>
        <w:t>15,90</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716DF60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w:t>
      </w:r>
    </w:p>
    <w:p w14:paraId="08738F89" w14:textId="228456D1"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67B85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14DF7"/>
    <w:rsid w:val="00025A4B"/>
    <w:rsid w:val="00076B7E"/>
    <w:rsid w:val="000D77D1"/>
    <w:rsid w:val="000E7F3F"/>
    <w:rsid w:val="00127F93"/>
    <w:rsid w:val="001E1636"/>
    <w:rsid w:val="001F4CEB"/>
    <w:rsid w:val="002979B4"/>
    <w:rsid w:val="002B5E51"/>
    <w:rsid w:val="003012FE"/>
    <w:rsid w:val="003876E1"/>
    <w:rsid w:val="003D37D3"/>
    <w:rsid w:val="00403632"/>
    <w:rsid w:val="004A0842"/>
    <w:rsid w:val="004B2D23"/>
    <w:rsid w:val="005B699C"/>
    <w:rsid w:val="005D21F6"/>
    <w:rsid w:val="00606795"/>
    <w:rsid w:val="00677FBF"/>
    <w:rsid w:val="006842B1"/>
    <w:rsid w:val="00756063"/>
    <w:rsid w:val="007B08F3"/>
    <w:rsid w:val="008F54EE"/>
    <w:rsid w:val="00A12862"/>
    <w:rsid w:val="00A3521A"/>
    <w:rsid w:val="00A45301"/>
    <w:rsid w:val="00AA1FAC"/>
    <w:rsid w:val="00AB00F3"/>
    <w:rsid w:val="00AB07ED"/>
    <w:rsid w:val="00B06DA1"/>
    <w:rsid w:val="00B118B3"/>
    <w:rsid w:val="00B74A81"/>
    <w:rsid w:val="00BC12EA"/>
    <w:rsid w:val="00C33703"/>
    <w:rsid w:val="00C41773"/>
    <w:rsid w:val="00CB5861"/>
    <w:rsid w:val="00D06DF1"/>
    <w:rsid w:val="00D12086"/>
    <w:rsid w:val="00D97193"/>
    <w:rsid w:val="00E232D6"/>
    <w:rsid w:val="00E514B2"/>
    <w:rsid w:val="00ED200F"/>
    <w:rsid w:val="00F65714"/>
    <w:rsid w:val="00F726F0"/>
    <w:rsid w:val="00FA7629"/>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403632"/>
    <w:pPr>
      <w:ind w:left="720"/>
      <w:contextualSpacing/>
    </w:pPr>
  </w:style>
  <w:style w:type="character" w:styleId="Odwoaniedokomentarza">
    <w:name w:val="annotation reference"/>
    <w:basedOn w:val="Domylnaczcionkaakapitu"/>
    <w:uiPriority w:val="99"/>
    <w:semiHidden/>
    <w:unhideWhenUsed/>
    <w:rsid w:val="00403632"/>
    <w:rPr>
      <w:sz w:val="16"/>
      <w:szCs w:val="16"/>
    </w:rPr>
  </w:style>
  <w:style w:type="paragraph" w:styleId="Tekstkomentarza">
    <w:name w:val="annotation text"/>
    <w:basedOn w:val="Normalny"/>
    <w:link w:val="TekstkomentarzaZnak"/>
    <w:uiPriority w:val="99"/>
    <w:semiHidden/>
    <w:unhideWhenUsed/>
    <w:rsid w:val="004036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3632"/>
    <w:rPr>
      <w:sz w:val="20"/>
      <w:szCs w:val="20"/>
    </w:rPr>
  </w:style>
  <w:style w:type="paragraph" w:styleId="Tematkomentarza">
    <w:name w:val="annotation subject"/>
    <w:basedOn w:val="Tekstkomentarza"/>
    <w:next w:val="Tekstkomentarza"/>
    <w:link w:val="TematkomentarzaZnak"/>
    <w:uiPriority w:val="99"/>
    <w:semiHidden/>
    <w:unhideWhenUsed/>
    <w:rsid w:val="00403632"/>
    <w:rPr>
      <w:b/>
      <w:bCs/>
    </w:rPr>
  </w:style>
  <w:style w:type="character" w:customStyle="1" w:styleId="TematkomentarzaZnak">
    <w:name w:val="Temat komentarza Znak"/>
    <w:basedOn w:val="TekstkomentarzaZnak"/>
    <w:link w:val="Tematkomentarza"/>
    <w:uiPriority w:val="99"/>
    <w:semiHidden/>
    <w:rsid w:val="004036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22</Pages>
  <Words>5177</Words>
  <Characters>31066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21-06-17 II Przetarg Starowarszawska 5 20,44 m2 lokal użytkowy</vt:lpstr>
    </vt:vector>
  </TitlesOfParts>
  <Company/>
  <LinksUpToDate>false</LinksUpToDate>
  <CharactersWithSpaces>36171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21-07-29 II Przetarg Zamurowa 16 15,90 m2 lokal użytkowy</dc:title>
  <dc:subject/>
  <dc:creator>Hanna Komar</dc:creator>
  <cp:keywords/>
  <dc:description/>
  <cp:lastModifiedBy>Hanna Komar</cp:lastModifiedBy>
  <cp:revision>18</cp:revision>
  <dcterms:created xsi:type="dcterms:W3CDTF">2021-05-14T07:16:00Z</dcterms:created>
  <dcterms:modified xsi:type="dcterms:W3CDTF">2021-06-25T09:11:00Z</dcterms:modified>
</cp:coreProperties>
</file>