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435270B1" w:rsidR="009262B0" w:rsidRPr="00582009" w:rsidRDefault="008E7D26" w:rsidP="00582009">
      <w:pPr>
        <w:pStyle w:val="Nagwek1"/>
        <w:spacing w:line="360" w:lineRule="auto"/>
        <w:rPr>
          <w:color w:val="auto"/>
          <w:sz w:val="28"/>
          <w:szCs w:val="28"/>
        </w:rPr>
      </w:pPr>
      <w:r w:rsidRPr="00582009">
        <w:rPr>
          <w:color w:val="auto"/>
          <w:sz w:val="28"/>
          <w:szCs w:val="28"/>
        </w:rPr>
        <w:t>WYKAZ</w:t>
      </w:r>
      <w:r w:rsidR="009262B0" w:rsidRPr="00582009">
        <w:rPr>
          <w:color w:val="auto"/>
          <w:sz w:val="28"/>
          <w:szCs w:val="28"/>
        </w:rPr>
        <w:t xml:space="preserve"> LOKALI UŻYTKOWYCH DO WYNAJĘCIA W TRYBIE BEZPRZETARGOWYM</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pomieszczenia: jedno pomieszczenie handlowo-usługowe, zaplecze magazynowe z wc,</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3A4F9172" w14:textId="10710C09" w:rsidR="007D613A" w:rsidRDefault="007D613A" w:rsidP="007D613A">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3C3DC397" w14:textId="77777777" w:rsidR="00746EFE" w:rsidRDefault="00746EFE" w:rsidP="00746EFE">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Narutowicza 19 – Sienkiewicza 15</w:t>
      </w:r>
    </w:p>
    <w:p w14:paraId="28854290" w14:textId="112DB787" w:rsidR="00746EFE" w:rsidRDefault="00746EFE" w:rsidP="00746EFE">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powierzchnia użytkowa: </w:t>
      </w:r>
      <w:r>
        <w:rPr>
          <w:rFonts w:asciiTheme="majorHAnsi" w:hAnsiTheme="majorHAnsi" w:cstheme="majorHAnsi"/>
          <w:sz w:val="24"/>
          <w:szCs w:val="24"/>
        </w:rPr>
        <w:t>22,91</w:t>
      </w:r>
      <w:r w:rsidRPr="007D613A">
        <w:rPr>
          <w:rFonts w:asciiTheme="majorHAnsi" w:hAnsiTheme="majorHAnsi" w:cstheme="majorHAnsi"/>
          <w:sz w:val="24"/>
          <w:szCs w:val="24"/>
        </w:rPr>
        <w:t xml:space="preserve"> m2,</w:t>
      </w:r>
    </w:p>
    <w:p w14:paraId="1B574576" w14:textId="690A0A59" w:rsidR="00746EFE" w:rsidRDefault="00746EFE" w:rsidP="00746EFE">
      <w:pPr>
        <w:pStyle w:val="Akapitzlist"/>
        <w:numPr>
          <w:ilvl w:val="0"/>
          <w:numId w:val="18"/>
        </w:numPr>
        <w:spacing w:line="360" w:lineRule="auto"/>
        <w:rPr>
          <w:rFonts w:asciiTheme="majorHAnsi" w:hAnsiTheme="majorHAnsi" w:cstheme="majorHAnsi"/>
          <w:sz w:val="24"/>
          <w:szCs w:val="24"/>
        </w:rPr>
      </w:pPr>
      <w:r w:rsidRPr="007D613A">
        <w:rPr>
          <w:rFonts w:asciiTheme="majorHAnsi" w:hAnsiTheme="majorHAnsi" w:cstheme="majorHAnsi"/>
          <w:sz w:val="24"/>
          <w:szCs w:val="24"/>
        </w:rPr>
        <w:t xml:space="preserve">pomieszczenia: </w:t>
      </w:r>
      <w:r>
        <w:rPr>
          <w:rFonts w:asciiTheme="majorHAnsi" w:hAnsiTheme="majorHAnsi" w:cstheme="majorHAnsi"/>
          <w:sz w:val="24"/>
          <w:szCs w:val="24"/>
        </w:rPr>
        <w:t>jedno</w:t>
      </w:r>
      <w:r w:rsidRPr="007D613A">
        <w:rPr>
          <w:rFonts w:asciiTheme="majorHAnsi" w:hAnsiTheme="majorHAnsi" w:cstheme="majorHAnsi"/>
          <w:sz w:val="24"/>
          <w:szCs w:val="24"/>
        </w:rPr>
        <w:t xml:space="preserve"> pomieszczeni</w:t>
      </w:r>
      <w:r>
        <w:rPr>
          <w:rFonts w:asciiTheme="majorHAnsi" w:hAnsiTheme="majorHAnsi" w:cstheme="majorHAnsi"/>
          <w:sz w:val="24"/>
          <w:szCs w:val="24"/>
        </w:rPr>
        <w:t>e handlowo–usługowe,</w:t>
      </w:r>
    </w:p>
    <w:p w14:paraId="7E108DB7" w14:textId="2DAC015E" w:rsidR="00746EFE" w:rsidRDefault="00746EFE" w:rsidP="00746EFE">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instalacje: instalacja elektryczna,</w:t>
      </w:r>
      <w:r>
        <w:rPr>
          <w:rFonts w:asciiTheme="majorHAnsi" w:hAnsiTheme="majorHAnsi" w:cstheme="majorHAnsi"/>
          <w:sz w:val="24"/>
          <w:szCs w:val="24"/>
        </w:rPr>
        <w:t xml:space="preserve"> instalacja gazowa,</w:t>
      </w:r>
    </w:p>
    <w:p w14:paraId="45EC2A94" w14:textId="7A92BDD3" w:rsidR="00E74924" w:rsidRPr="00746EFE" w:rsidRDefault="00746EFE" w:rsidP="00746EFE">
      <w:pPr>
        <w:pStyle w:val="Akapitzlist"/>
        <w:numPr>
          <w:ilvl w:val="0"/>
          <w:numId w:val="18"/>
        </w:numPr>
        <w:spacing w:line="360" w:lineRule="auto"/>
        <w:rPr>
          <w:rFonts w:asciiTheme="majorHAnsi" w:hAnsiTheme="majorHAnsi" w:cstheme="majorHAnsi"/>
          <w:sz w:val="24"/>
          <w:szCs w:val="24"/>
        </w:rPr>
      </w:pPr>
      <w:r w:rsidRPr="00E74924">
        <w:rPr>
          <w:rFonts w:asciiTheme="majorHAnsi" w:hAnsiTheme="majorHAnsi" w:cstheme="majorHAnsi"/>
          <w:sz w:val="24"/>
          <w:szCs w:val="24"/>
        </w:rPr>
        <w:t>administracja budynku: ZGM Spółka z o.o. w Bytomiu Biuro Obsługi Klienta w Piotrkowie Trybunalskim, ulica Dąbrowskiego 4, tel. 691420232,</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dwa pomieszczenia, sanitariat z wc,</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272066BC" w14:textId="77C5A6ED" w:rsidR="005104E5" w:rsidRPr="00195DEE" w:rsidRDefault="00195DEE" w:rsidP="00195DEE">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18DEAC14" w14:textId="3BC636F3" w:rsidR="00E64B14" w:rsidRPr="00E64B14" w:rsidRDefault="00E64B14"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 xml:space="preserve">lokal użytkowy przy </w:t>
      </w:r>
      <w:r>
        <w:rPr>
          <w:rFonts w:asciiTheme="majorHAnsi" w:hAnsiTheme="majorHAnsi" w:cstheme="majorHAnsi"/>
          <w:sz w:val="24"/>
          <w:szCs w:val="24"/>
        </w:rPr>
        <w:t>ulicy Rycerskiej 11</w:t>
      </w:r>
    </w:p>
    <w:p w14:paraId="317C39D5" w14:textId="5771A7E9" w:rsidR="00E64B14" w:rsidRDefault="00E64B14" w:rsidP="00E64B14">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43,74 m2,</w:t>
      </w:r>
    </w:p>
    <w:p w14:paraId="05C36D8F" w14:textId="5781CC67" w:rsidR="00E64B14" w:rsidRDefault="00E64B14" w:rsidP="00E64B14">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pomieszczenia: dwa pomieszczenia</w:t>
      </w:r>
      <w:r w:rsidR="009D4627">
        <w:rPr>
          <w:rFonts w:asciiTheme="majorHAnsi" w:hAnsiTheme="majorHAnsi" w:cstheme="majorHAnsi"/>
          <w:sz w:val="24"/>
          <w:szCs w:val="24"/>
        </w:rPr>
        <w:t xml:space="preserve"> handlowe</w:t>
      </w:r>
      <w:r>
        <w:rPr>
          <w:rFonts w:asciiTheme="majorHAnsi" w:hAnsiTheme="majorHAnsi" w:cstheme="majorHAnsi"/>
          <w:sz w:val="24"/>
          <w:szCs w:val="24"/>
        </w:rPr>
        <w:t>, sanitariat z wc,</w:t>
      </w:r>
    </w:p>
    <w:p w14:paraId="28D6F352" w14:textId="1CCAAF19" w:rsidR="00E64B14" w:rsidRPr="009D4627" w:rsidRDefault="00E64B14" w:rsidP="009D4627">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w:t>
      </w:r>
      <w:r w:rsidR="009D4627">
        <w:rPr>
          <w:rFonts w:asciiTheme="majorHAnsi" w:hAnsiTheme="majorHAnsi" w:cstheme="majorHAnsi"/>
          <w:sz w:val="24"/>
          <w:szCs w:val="24"/>
        </w:rPr>
        <w:t>, centralne ogrzewanie i c.w.u. (logoterma)</w:t>
      </w:r>
      <w:r>
        <w:rPr>
          <w:rFonts w:asciiTheme="majorHAnsi" w:hAnsiTheme="majorHAnsi" w:cstheme="majorHAnsi"/>
          <w:sz w:val="24"/>
          <w:szCs w:val="24"/>
        </w:rPr>
        <w:t>,</w:t>
      </w:r>
    </w:p>
    <w:p w14:paraId="43286D4B" w14:textId="4BD3E62B" w:rsidR="00E64B14" w:rsidRPr="009D4627" w:rsidRDefault="00E64B14" w:rsidP="009D4627">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pomieszczenia: 1 pomieszczenie handlowe, pomieszczenie wc,</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jedno pomieszczenie z wc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46E49C19"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 handlowe, zaplecze podzielone na dwa pomieszczenia kratą, korytarz, pomieszczenie sanitarne z wc,</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6CE1C2EF" w14:textId="4A061D97" w:rsidR="00AD7354" w:rsidRPr="009D4627" w:rsidRDefault="00774DB8" w:rsidP="009D4627">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E7A4262" w14:textId="1AB627E0" w:rsidR="002120C5" w:rsidRPr="00B15104" w:rsidRDefault="002120C5"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327D44CD" w14:textId="20FBDFC3" w:rsidR="004A6917" w:rsidRDefault="004A6917" w:rsidP="00582009">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0351700A" w14:textId="30C2E9A1"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41,98 m2,</w:t>
      </w:r>
    </w:p>
    <w:p w14:paraId="6643D937" w14:textId="408996C9"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3 pomieszczenia wc,</w:t>
      </w:r>
    </w:p>
    <w:p w14:paraId="53F10BEB" w14:textId="796A79ED"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163074B" w14:textId="04D4824C" w:rsidR="002120C5" w:rsidRPr="00B15104" w:rsidRDefault="002120C5"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ZGM Spółka z o.o. w Bytomiu Biuro Obsługi Klienta w Piotrkowie Trybunalskim, ulica Dąbrowskiego 4, tel. 691420232,</w:t>
      </w:r>
    </w:p>
    <w:p w14:paraId="52CA48B3" w14:textId="200CB7EF"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550B016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32,00 m2,</w:t>
      </w:r>
    </w:p>
    <w:p w14:paraId="6E72DF4A" w14:textId="2242C63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47ED0854" w14:textId="76BAB2A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6B654E76" w14:textId="73646A83"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79877F11" w14:textId="77777777"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lokal użytkowy przy ulicy Jerozolimska 10</w:t>
      </w:r>
    </w:p>
    <w:p w14:paraId="5E22BA9E" w14:textId="6E57061E"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38,00 m2,</w:t>
      </w:r>
    </w:p>
    <w:p w14:paraId="755E1A95" w14:textId="1B92A7B5"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362EC881" w14:textId="64389980"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3BCED8CD" w14:textId="6A65C007"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0791A1C1" w14:textId="3AA0309E" w:rsidR="006F75DB" w:rsidRPr="00B15104" w:rsidRDefault="006F75DB"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Starowarszawskiej 8</w:t>
      </w:r>
    </w:p>
    <w:p w14:paraId="78F71F49" w14:textId="5C84C866"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6D08D48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w:t>
      </w:r>
    </w:p>
    <w:p w14:paraId="09855EA6" w14:textId="06CF542F" w:rsidR="006F75DB" w:rsidRPr="00B15104"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5C8CC997" w14:textId="6ED8574E" w:rsidR="006F75DB" w:rsidRDefault="006F75DB"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77777777"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7C9A38F4" w14:textId="2510F679" w:rsidR="00E65CE9" w:rsidRPr="005201A9" w:rsidRDefault="00E65CE9" w:rsidP="005201A9">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ZGM Spółka z o.o. w Bytomiu Biuro Obsługi Klienta w Piotrkowie Trybunalskim, ulica Dąbrowskiego 4, tel. 691420232,</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4F2B3AD4" w14:textId="436BCD91" w:rsidR="007E5CAD" w:rsidRDefault="008C7BF8" w:rsidP="007E5CAD">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garaż przy ulicy Rembeka 1/5 – 25 Pułku Piechoty 18</w:t>
      </w:r>
    </w:p>
    <w:p w14:paraId="19BA17C8" w14:textId="2BF0646B" w:rsid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16,50 m2,</w:t>
      </w:r>
    </w:p>
    <w:p w14:paraId="40492241" w14:textId="53CB9C63" w:rsidR="008C7BF8" w:rsidRPr="008C7BF8" w:rsidRDefault="008C7BF8" w:rsidP="008C7BF8">
      <w:pPr>
        <w:pStyle w:val="Akapitzlist"/>
        <w:numPr>
          <w:ilvl w:val="0"/>
          <w:numId w:val="14"/>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 Administracja Budynkami Mieszkalnymi w Piotrkowie Trybunalskim, ulica Kochanowskiego 5, tel. 44/647-18-30.</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lastRenderedPageBreak/>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701D287A"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1A72E0">
        <w:rPr>
          <w:rFonts w:asciiTheme="majorHAnsi" w:hAnsiTheme="majorHAnsi" w:cstheme="majorHAnsi"/>
          <w:sz w:val="24"/>
          <w:szCs w:val="24"/>
        </w:rPr>
        <w:t>30</w:t>
      </w:r>
      <w:r w:rsidRPr="00B15104">
        <w:rPr>
          <w:rFonts w:asciiTheme="majorHAnsi" w:hAnsiTheme="majorHAnsi" w:cstheme="majorHAnsi"/>
          <w:sz w:val="24"/>
          <w:szCs w:val="24"/>
        </w:rPr>
        <w:t xml:space="preserve"> </w:t>
      </w:r>
      <w:r w:rsidR="005201A9">
        <w:rPr>
          <w:rFonts w:asciiTheme="majorHAnsi" w:hAnsiTheme="majorHAnsi" w:cstheme="majorHAnsi"/>
          <w:sz w:val="24"/>
          <w:szCs w:val="24"/>
        </w:rPr>
        <w:t>stycznia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042B5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A72E0"/>
    <w:rsid w:val="001B0DCA"/>
    <w:rsid w:val="001C3361"/>
    <w:rsid w:val="001E1636"/>
    <w:rsid w:val="001E4E0B"/>
    <w:rsid w:val="001F4CEB"/>
    <w:rsid w:val="002120C5"/>
    <w:rsid w:val="00231B11"/>
    <w:rsid w:val="00253742"/>
    <w:rsid w:val="002979B4"/>
    <w:rsid w:val="002B5B66"/>
    <w:rsid w:val="002F65A1"/>
    <w:rsid w:val="003012FE"/>
    <w:rsid w:val="00332BCB"/>
    <w:rsid w:val="00336B3D"/>
    <w:rsid w:val="00366CDE"/>
    <w:rsid w:val="003876E1"/>
    <w:rsid w:val="003B3360"/>
    <w:rsid w:val="003D37D3"/>
    <w:rsid w:val="003E3A3F"/>
    <w:rsid w:val="00402941"/>
    <w:rsid w:val="0042315B"/>
    <w:rsid w:val="004420C8"/>
    <w:rsid w:val="00442FB3"/>
    <w:rsid w:val="004A0842"/>
    <w:rsid w:val="004A6917"/>
    <w:rsid w:val="004B2D23"/>
    <w:rsid w:val="004C0408"/>
    <w:rsid w:val="004D136A"/>
    <w:rsid w:val="004E3168"/>
    <w:rsid w:val="004F66DC"/>
    <w:rsid w:val="005104E5"/>
    <w:rsid w:val="005201A9"/>
    <w:rsid w:val="00532719"/>
    <w:rsid w:val="00552BB4"/>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2839"/>
    <w:rsid w:val="007A4DF5"/>
    <w:rsid w:val="007B08F3"/>
    <w:rsid w:val="007D49BC"/>
    <w:rsid w:val="007D5D69"/>
    <w:rsid w:val="007D613A"/>
    <w:rsid w:val="007E5CAD"/>
    <w:rsid w:val="00844CA9"/>
    <w:rsid w:val="008740BD"/>
    <w:rsid w:val="008A26DB"/>
    <w:rsid w:val="008B2390"/>
    <w:rsid w:val="008C7BF8"/>
    <w:rsid w:val="008D1C9C"/>
    <w:rsid w:val="008E6792"/>
    <w:rsid w:val="008E7D26"/>
    <w:rsid w:val="009023DD"/>
    <w:rsid w:val="009039E9"/>
    <w:rsid w:val="009262B0"/>
    <w:rsid w:val="00964EF9"/>
    <w:rsid w:val="009D02CF"/>
    <w:rsid w:val="009D4627"/>
    <w:rsid w:val="009D470A"/>
    <w:rsid w:val="009D736F"/>
    <w:rsid w:val="009F247C"/>
    <w:rsid w:val="00A139C0"/>
    <w:rsid w:val="00A3521A"/>
    <w:rsid w:val="00A52ECC"/>
    <w:rsid w:val="00AA089B"/>
    <w:rsid w:val="00AA1FAC"/>
    <w:rsid w:val="00AB07ED"/>
    <w:rsid w:val="00AD7354"/>
    <w:rsid w:val="00AF7A8C"/>
    <w:rsid w:val="00B06DA1"/>
    <w:rsid w:val="00B118B3"/>
    <w:rsid w:val="00B15104"/>
    <w:rsid w:val="00B74A81"/>
    <w:rsid w:val="00B82A07"/>
    <w:rsid w:val="00B975A5"/>
    <w:rsid w:val="00BC12EA"/>
    <w:rsid w:val="00C33703"/>
    <w:rsid w:val="00C34A90"/>
    <w:rsid w:val="00C41773"/>
    <w:rsid w:val="00C533DF"/>
    <w:rsid w:val="00C562A3"/>
    <w:rsid w:val="00C75307"/>
    <w:rsid w:val="00CA6A36"/>
    <w:rsid w:val="00CF6450"/>
    <w:rsid w:val="00CF7FF4"/>
    <w:rsid w:val="00D06DF1"/>
    <w:rsid w:val="00D12086"/>
    <w:rsid w:val="00D43603"/>
    <w:rsid w:val="00D502DF"/>
    <w:rsid w:val="00D71E8C"/>
    <w:rsid w:val="00D87775"/>
    <w:rsid w:val="00D97193"/>
    <w:rsid w:val="00DD3AD1"/>
    <w:rsid w:val="00DE5909"/>
    <w:rsid w:val="00E066D3"/>
    <w:rsid w:val="00E232D6"/>
    <w:rsid w:val="00E514B2"/>
    <w:rsid w:val="00E64B14"/>
    <w:rsid w:val="00E65CE9"/>
    <w:rsid w:val="00E74924"/>
    <w:rsid w:val="00EA1B83"/>
    <w:rsid w:val="00EA1CE7"/>
    <w:rsid w:val="00EB559F"/>
    <w:rsid w:val="00EF069C"/>
    <w:rsid w:val="00EF094F"/>
    <w:rsid w:val="00F21C82"/>
    <w:rsid w:val="00F4501D"/>
    <w:rsid w:val="00F65714"/>
    <w:rsid w:val="00F726F0"/>
    <w:rsid w:val="00FC3FB5"/>
    <w:rsid w:val="00FC68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Pages>5</Pages>
  <Words>990</Words>
  <Characters>5943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23-01-30_Wykaz lokali_uzytkowych_do_wynajecia_w_trybie_bezprzetargowym</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23-01-30_Wykaz lokali_uzytkowych_do_wynajecia_w_trybie_bezprzetargowym</dc:title>
  <dc:subject/>
  <dc:creator>Hanna Komar</dc:creator>
  <cp:keywords/>
  <dc:description/>
  <cp:lastModifiedBy>Hanna Komar</cp:lastModifiedBy>
  <cp:revision>43</cp:revision>
  <dcterms:created xsi:type="dcterms:W3CDTF">2021-05-14T07:16:00Z</dcterms:created>
  <dcterms:modified xsi:type="dcterms:W3CDTF">2023-02-01T06:58:00Z</dcterms:modified>
</cp:coreProperties>
</file>