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065903D"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EE6E74">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294A096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EE6E74">
        <w:rPr>
          <w:rFonts w:asciiTheme="majorHAnsi" w:hAnsiTheme="majorHAnsi" w:cstheme="majorHAnsi"/>
          <w:sz w:val="24"/>
          <w:szCs w:val="24"/>
        </w:rPr>
        <w:t>3,14</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handlowo – usługowego, zaplecza, oraz pomieszczenia wc</w:t>
      </w:r>
      <w:r w:rsidR="00C107BC" w:rsidRPr="004B619D">
        <w:rPr>
          <w:rFonts w:asciiTheme="majorHAnsi" w:hAnsiTheme="majorHAnsi" w:cstheme="majorHAnsi"/>
          <w:sz w:val="24"/>
          <w:szCs w:val="24"/>
        </w:rPr>
        <w:t>. Wyposażony jest w instalację wodno-kanalizacyjną,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478C1A8A" w14:textId="77777777"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w:t>
      </w:r>
    </w:p>
    <w:p w14:paraId="7ACEAB91" w14:textId="2520B674"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Zakres prac remontowych do wykonania w przedmiotowym lokalu użytkowym obciążających przyszłego najemcę obejmuje: częściowa naprawa tynków ścian i malowanie całego lokalu,</w:t>
      </w:r>
      <w:r w:rsidR="00EE6E74">
        <w:rPr>
          <w:rFonts w:asciiTheme="majorHAnsi" w:hAnsiTheme="majorHAnsi" w:cstheme="majorHAnsi"/>
          <w:sz w:val="24"/>
          <w:szCs w:val="24"/>
        </w:rPr>
        <w:t xml:space="preserve"> montaż muszli sedesowej wraz ze spłuczką oraz umywalki z baterią; wymiana płytek ceramicznych w pierwszym pomieszczeniu oraz paneli w pozostałych;</w:t>
      </w:r>
      <w:r w:rsidRPr="004B619D">
        <w:rPr>
          <w:rFonts w:asciiTheme="majorHAnsi" w:hAnsiTheme="majorHAnsi" w:cstheme="majorHAnsi"/>
          <w:sz w:val="24"/>
          <w:szCs w:val="24"/>
        </w:rPr>
        <w:t xml:space="preserve"> wyposażenie lokalu w źródło grzewcze, 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2EEC08CC"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EE6E74">
        <w:rPr>
          <w:rFonts w:asciiTheme="majorHAnsi" w:hAnsiTheme="majorHAnsi" w:cstheme="majorHAnsi"/>
          <w:sz w:val="24"/>
          <w:szCs w:val="24"/>
        </w:rPr>
        <w:t>23</w:t>
      </w:r>
      <w:r w:rsidRPr="003D143F">
        <w:rPr>
          <w:rFonts w:asciiTheme="majorHAnsi" w:hAnsiTheme="majorHAnsi" w:cstheme="majorHAnsi"/>
          <w:sz w:val="24"/>
          <w:szCs w:val="24"/>
        </w:rPr>
        <w:t xml:space="preserve"> </w:t>
      </w:r>
      <w:r w:rsidR="00EE6E7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10</w:t>
      </w:r>
      <w:r w:rsidRPr="003D143F">
        <w:rPr>
          <w:rFonts w:asciiTheme="majorHAnsi" w:hAnsiTheme="majorHAnsi" w:cstheme="majorHAnsi"/>
          <w:sz w:val="24"/>
          <w:szCs w:val="24"/>
        </w:rPr>
        <w:t>:</w:t>
      </w:r>
      <w:r w:rsidR="00EE6E74">
        <w:rPr>
          <w:rFonts w:asciiTheme="majorHAnsi" w:hAnsiTheme="majorHAnsi" w:cstheme="majorHAnsi"/>
          <w:sz w:val="24"/>
          <w:szCs w:val="24"/>
        </w:rPr>
        <w:t>3</w:t>
      </w:r>
      <w:r w:rsidRPr="003D143F">
        <w:rPr>
          <w:rFonts w:asciiTheme="majorHAnsi" w:hAnsiTheme="majorHAnsi" w:cstheme="majorHAnsi"/>
          <w:sz w:val="24"/>
          <w:szCs w:val="24"/>
        </w:rPr>
        <w:t>0 – Budynek B</w:t>
      </w:r>
      <w:r w:rsidR="001162D7">
        <w:rPr>
          <w:rFonts w:asciiTheme="majorHAnsi" w:hAnsiTheme="majorHAnsi" w:cstheme="majorHAnsi"/>
          <w:sz w:val="24"/>
          <w:szCs w:val="24"/>
        </w:rPr>
        <w:t>, pokój nr 26</w:t>
      </w:r>
      <w:r w:rsidRPr="003D143F">
        <w:rPr>
          <w:rFonts w:asciiTheme="majorHAnsi" w:hAnsiTheme="majorHAnsi" w:cstheme="majorHAnsi"/>
          <w:sz w:val="24"/>
          <w:szCs w:val="24"/>
        </w:rPr>
        <w:t>.</w:t>
      </w:r>
    </w:p>
    <w:p w14:paraId="7D5A67C6" w14:textId="5AA7F99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EE6E74">
        <w:rPr>
          <w:rFonts w:asciiTheme="majorHAnsi" w:hAnsiTheme="majorHAnsi" w:cstheme="majorHAnsi"/>
          <w:sz w:val="24"/>
          <w:szCs w:val="24"/>
        </w:rPr>
        <w:t>694,20</w:t>
      </w:r>
      <w:r w:rsidRPr="003D143F">
        <w:rPr>
          <w:rFonts w:asciiTheme="majorHAnsi" w:hAnsiTheme="majorHAnsi" w:cstheme="majorHAnsi"/>
          <w:sz w:val="24"/>
          <w:szCs w:val="24"/>
        </w:rPr>
        <w:t xml:space="preserve"> zł - jako miesięczny czynsz netto ustalony dla danego lokalu.</w:t>
      </w:r>
    </w:p>
    <w:p w14:paraId="104C1B1B" w14:textId="092E7AB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Narutowicza 19/Sienkiewicza 15 wynosi: </w:t>
      </w:r>
      <w:r w:rsidR="003154AD">
        <w:rPr>
          <w:rFonts w:asciiTheme="majorHAnsi" w:hAnsiTheme="majorHAnsi" w:cstheme="majorHAnsi"/>
          <w:sz w:val="24"/>
          <w:szCs w:val="24"/>
        </w:rPr>
        <w:t>694,20</w:t>
      </w:r>
      <w:r w:rsidRPr="003D143F">
        <w:rPr>
          <w:rFonts w:asciiTheme="majorHAnsi" w:hAnsiTheme="majorHAnsi" w:cstheme="majorHAnsi"/>
          <w:sz w:val="24"/>
          <w:szCs w:val="24"/>
        </w:rPr>
        <w:t xml:space="preserve"> zł, (słownie złotych: </w:t>
      </w:r>
      <w:r w:rsidR="002E23E2">
        <w:rPr>
          <w:rFonts w:asciiTheme="majorHAnsi" w:hAnsiTheme="majorHAnsi" w:cstheme="majorHAnsi"/>
          <w:sz w:val="24"/>
          <w:szCs w:val="24"/>
        </w:rPr>
        <w:t>s</w:t>
      </w:r>
      <w:r w:rsidR="003154AD">
        <w:rPr>
          <w:rFonts w:asciiTheme="majorHAnsi" w:hAnsiTheme="majorHAnsi" w:cstheme="majorHAnsi"/>
          <w:sz w:val="24"/>
          <w:szCs w:val="24"/>
        </w:rPr>
        <w:t xml:space="preserve">ześćset dziewięćdziesiąt cztery </w:t>
      </w:r>
      <w:r w:rsidRPr="003D143F">
        <w:rPr>
          <w:rFonts w:asciiTheme="majorHAnsi" w:hAnsiTheme="majorHAnsi" w:cstheme="majorHAnsi"/>
          <w:sz w:val="24"/>
          <w:szCs w:val="24"/>
        </w:rPr>
        <w:t>złot</w:t>
      </w:r>
      <w:r w:rsidR="003154AD">
        <w:rPr>
          <w:rFonts w:asciiTheme="majorHAnsi" w:hAnsiTheme="majorHAnsi" w:cstheme="majorHAnsi"/>
          <w:sz w:val="24"/>
          <w:szCs w:val="24"/>
        </w:rPr>
        <w:t>e</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20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6BA5E5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EEDDF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154AD">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3154AD">
        <w:rPr>
          <w:rFonts w:asciiTheme="majorHAnsi" w:hAnsiTheme="majorHAnsi" w:cstheme="majorHAnsi"/>
          <w:sz w:val="24"/>
          <w:szCs w:val="24"/>
        </w:rPr>
        <w:t>3,14</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5F4FAB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DE7CF5">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E7CF5">
        <w:rPr>
          <w:rFonts w:asciiTheme="majorHAnsi" w:hAnsiTheme="majorHAnsi" w:cstheme="majorHAnsi"/>
          <w:sz w:val="24"/>
          <w:szCs w:val="24"/>
        </w:rPr>
        <w:t>o</w:t>
      </w:r>
      <w:r w:rsidRPr="003D143F">
        <w:rPr>
          <w:rFonts w:asciiTheme="majorHAnsi" w:hAnsiTheme="majorHAnsi" w:cstheme="majorHAnsi"/>
          <w:sz w:val="24"/>
          <w:szCs w:val="24"/>
        </w:rPr>
        <w:t>w</w:t>
      </w:r>
      <w:r w:rsidR="00DE7CF5">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E7CF5">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0115F24"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w:t>
      </w:r>
      <w:r w:rsidR="00A05585">
        <w:rPr>
          <w:rFonts w:cstheme="majorHAnsi"/>
          <w:color w:val="auto"/>
          <w:sz w:val="24"/>
          <w:szCs w:val="24"/>
        </w:rPr>
        <w:t>3</w:t>
      </w:r>
      <w:r w:rsidR="00974DCA">
        <w:rPr>
          <w:rFonts w:cstheme="majorHAnsi"/>
          <w:color w:val="auto"/>
          <w:sz w:val="24"/>
          <w:szCs w:val="24"/>
        </w:rPr>
        <w:t>,</w:t>
      </w:r>
      <w:r w:rsidR="00A05585">
        <w:rPr>
          <w:rFonts w:cstheme="majorHAnsi"/>
          <w:color w:val="auto"/>
          <w:sz w:val="24"/>
          <w:szCs w:val="24"/>
        </w:rPr>
        <w:t>14</w:t>
      </w:r>
      <w:r w:rsidRPr="00586B60">
        <w:rPr>
          <w:rFonts w:cstheme="majorHAnsi"/>
          <w:color w:val="auto"/>
          <w:sz w:val="24"/>
          <w:szCs w:val="24"/>
        </w:rPr>
        <w:t xml:space="preserve"> m2.</w:t>
      </w:r>
    </w:p>
    <w:p w14:paraId="4B89C5BD" w14:textId="4AB27BA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05585">
        <w:rPr>
          <w:rFonts w:asciiTheme="majorHAnsi" w:hAnsiTheme="majorHAnsi" w:cstheme="majorHAnsi"/>
          <w:sz w:val="24"/>
          <w:szCs w:val="24"/>
        </w:rPr>
        <w:t>23 lutego</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10</w:t>
      </w:r>
      <w:r w:rsidRPr="003D143F">
        <w:rPr>
          <w:rFonts w:asciiTheme="majorHAnsi" w:hAnsiTheme="majorHAnsi" w:cstheme="majorHAnsi"/>
          <w:sz w:val="24"/>
          <w:szCs w:val="24"/>
        </w:rPr>
        <w:t>:</w:t>
      </w:r>
      <w:r w:rsidR="00A05585">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40D93DD6"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A05585">
        <w:rPr>
          <w:rFonts w:asciiTheme="majorHAnsi" w:hAnsiTheme="majorHAnsi" w:cstheme="majorHAnsi"/>
          <w:sz w:val="24"/>
          <w:szCs w:val="24"/>
        </w:rPr>
        <w:t>3</w:t>
      </w:r>
      <w:r w:rsidR="00974DCA">
        <w:rPr>
          <w:rFonts w:asciiTheme="majorHAnsi" w:hAnsiTheme="majorHAnsi" w:cstheme="majorHAnsi"/>
          <w:sz w:val="24"/>
          <w:szCs w:val="24"/>
        </w:rPr>
        <w:t>,</w:t>
      </w:r>
      <w:r w:rsidR="00A05585">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7898D214"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C06A78">
        <w:rPr>
          <w:rFonts w:asciiTheme="majorHAnsi" w:hAnsiTheme="majorHAnsi" w:cstheme="majorHAnsi"/>
          <w:sz w:val="24"/>
          <w:szCs w:val="24"/>
        </w:rPr>
        <w:t>3</w:t>
      </w:r>
      <w:r w:rsidR="006D5F3F">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1C50F0C"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C06A78">
        <w:rPr>
          <w:rFonts w:asciiTheme="majorHAnsi" w:hAnsiTheme="majorHAnsi" w:cstheme="majorHAnsi"/>
          <w:sz w:val="24"/>
          <w:szCs w:val="24"/>
        </w:rPr>
        <w:t>694,20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7989B69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C06A78">
        <w:rPr>
          <w:rFonts w:asciiTheme="majorHAnsi" w:hAnsiTheme="majorHAnsi" w:cstheme="majorHAnsi"/>
          <w:sz w:val="24"/>
          <w:szCs w:val="24"/>
        </w:rPr>
        <w:t>694,20</w:t>
      </w:r>
      <w:r w:rsidRPr="003D143F">
        <w:rPr>
          <w:rFonts w:asciiTheme="majorHAnsi" w:hAnsiTheme="majorHAnsi" w:cstheme="majorHAnsi"/>
          <w:sz w:val="24"/>
          <w:szCs w:val="24"/>
        </w:rPr>
        <w:t xml:space="preserve"> zł, /słownie złotych: </w:t>
      </w:r>
      <w:r w:rsidR="00D323A6">
        <w:rPr>
          <w:rFonts w:asciiTheme="majorHAnsi" w:hAnsiTheme="majorHAnsi" w:cstheme="majorHAnsi"/>
          <w:sz w:val="24"/>
          <w:szCs w:val="24"/>
        </w:rPr>
        <w:t>s</w:t>
      </w:r>
      <w:r w:rsidR="00C06A78">
        <w:rPr>
          <w:rFonts w:asciiTheme="majorHAnsi" w:hAnsiTheme="majorHAnsi" w:cstheme="majorHAnsi"/>
          <w:sz w:val="24"/>
          <w:szCs w:val="24"/>
        </w:rPr>
        <w:t>ześćset dziewięćdziesiąt cztery</w:t>
      </w:r>
      <w:r w:rsidR="004828B4">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06A78">
        <w:rPr>
          <w:rFonts w:asciiTheme="majorHAnsi" w:hAnsiTheme="majorHAnsi" w:cstheme="majorHAnsi"/>
          <w:sz w:val="24"/>
          <w:szCs w:val="24"/>
        </w:rPr>
        <w:t>e</w:t>
      </w:r>
      <w:r w:rsidRPr="003D143F">
        <w:rPr>
          <w:rFonts w:asciiTheme="majorHAnsi" w:hAnsiTheme="majorHAnsi" w:cstheme="majorHAnsi"/>
          <w:sz w:val="24"/>
          <w:szCs w:val="24"/>
        </w:rPr>
        <w:t xml:space="preserve"> </w:t>
      </w:r>
      <w:r w:rsidR="00C06A78">
        <w:rPr>
          <w:rFonts w:asciiTheme="majorHAnsi" w:hAnsiTheme="majorHAnsi" w:cstheme="majorHAnsi"/>
          <w:sz w:val="24"/>
          <w:szCs w:val="24"/>
        </w:rPr>
        <w:t>20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46CEE4E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C06A78">
        <w:rPr>
          <w:rFonts w:asciiTheme="majorHAnsi" w:hAnsiTheme="majorHAnsi" w:cstheme="majorHAnsi"/>
          <w:sz w:val="24"/>
          <w:szCs w:val="24"/>
        </w:rPr>
        <w:t>3</w:t>
      </w:r>
      <w:r w:rsidR="006D5F3F">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3469B840"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335EF0E1"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w:t>
      </w:r>
      <w:r w:rsidR="00C06A78">
        <w:rPr>
          <w:rFonts w:asciiTheme="majorHAnsi" w:hAnsiTheme="majorHAnsi" w:cstheme="majorHAnsi"/>
          <w:sz w:val="24"/>
          <w:szCs w:val="24"/>
        </w:rPr>
        <w:t>3</w:t>
      </w:r>
      <w:r w:rsidR="00F34C42">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7542E576" w14:textId="61236FE2" w:rsidR="008E7291" w:rsidRDefault="008E7291" w:rsidP="00C06A78">
      <w:pPr>
        <w:numPr>
          <w:ilvl w:val="0"/>
          <w:numId w:val="28"/>
        </w:numPr>
        <w:spacing w:line="360" w:lineRule="auto"/>
        <w:ind w:left="0"/>
        <w:rPr>
          <w:rFonts w:asciiTheme="majorHAnsi" w:hAnsiTheme="majorHAnsi" w:cstheme="majorHAnsi"/>
          <w:sz w:val="24"/>
          <w:szCs w:val="24"/>
        </w:rPr>
      </w:pPr>
      <w:r w:rsidRPr="00C06A78">
        <w:rPr>
          <w:rFonts w:asciiTheme="majorHAnsi" w:hAnsiTheme="majorHAnsi" w:cstheme="majorHAnsi"/>
          <w:sz w:val="24"/>
          <w:szCs w:val="24"/>
        </w:rPr>
        <w:t>częściowa naprawa tynków ścian i malowanie całego lokalu,</w:t>
      </w:r>
    </w:p>
    <w:p w14:paraId="27882E3C" w14:textId="679C2AA0" w:rsidR="00C06A78" w:rsidRDefault="00C06A7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muszli sedesowej wraz ze spłuczką oraz umywalki z baterią,</w:t>
      </w:r>
    </w:p>
    <w:p w14:paraId="6D1C34FC" w14:textId="065D46CE" w:rsidR="00C06A78" w:rsidRPr="00C06A78" w:rsidRDefault="00C06A7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płytek ceramicznych w pierwszym pomieszczeniu</w:t>
      </w:r>
      <w:r w:rsidR="006F1D0A">
        <w:rPr>
          <w:rFonts w:asciiTheme="majorHAnsi" w:hAnsiTheme="majorHAnsi" w:cstheme="majorHAnsi"/>
          <w:sz w:val="24"/>
          <w:szCs w:val="24"/>
        </w:rPr>
        <w:t xml:space="preserve"> + paneli w pozostałych,</w:t>
      </w:r>
    </w:p>
    <w:p w14:paraId="2269D056" w14:textId="5B22AF48"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własnych potrzeb,</w:t>
      </w:r>
    </w:p>
    <w:p w14:paraId="1710C7D7" w14:textId="755EAB06" w:rsidR="008E7291" w:rsidRPr="006F1D0A" w:rsidRDefault="008E7291" w:rsidP="006F1D0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2B4673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6F1D0A">
        <w:rPr>
          <w:rFonts w:asciiTheme="majorHAnsi" w:hAnsiTheme="majorHAnsi" w:cstheme="majorHAnsi"/>
          <w:sz w:val="24"/>
          <w:szCs w:val="24"/>
        </w:rPr>
        <w:t>3</w:t>
      </w:r>
      <w:r w:rsidR="005D6B18">
        <w:rPr>
          <w:rFonts w:asciiTheme="majorHAnsi" w:hAnsiTheme="majorHAnsi" w:cstheme="majorHAnsi"/>
          <w:sz w:val="24"/>
          <w:szCs w:val="24"/>
        </w:rPr>
        <w:t>,</w:t>
      </w:r>
      <w:r w:rsidR="006F1D0A">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C45A7"/>
    <w:rsid w:val="001F4CEB"/>
    <w:rsid w:val="002130C9"/>
    <w:rsid w:val="00227A0A"/>
    <w:rsid w:val="00235934"/>
    <w:rsid w:val="0028211A"/>
    <w:rsid w:val="002904F0"/>
    <w:rsid w:val="002E23E2"/>
    <w:rsid w:val="002F081F"/>
    <w:rsid w:val="003154AD"/>
    <w:rsid w:val="003D143F"/>
    <w:rsid w:val="004828B4"/>
    <w:rsid w:val="00483B99"/>
    <w:rsid w:val="005371CE"/>
    <w:rsid w:val="00586B60"/>
    <w:rsid w:val="005D6B18"/>
    <w:rsid w:val="00691496"/>
    <w:rsid w:val="006A39A4"/>
    <w:rsid w:val="006D5F3F"/>
    <w:rsid w:val="006F1D0A"/>
    <w:rsid w:val="00796E42"/>
    <w:rsid w:val="007B08F3"/>
    <w:rsid w:val="0082128F"/>
    <w:rsid w:val="00831D58"/>
    <w:rsid w:val="00880886"/>
    <w:rsid w:val="008C42A9"/>
    <w:rsid w:val="008E7291"/>
    <w:rsid w:val="00930FF9"/>
    <w:rsid w:val="00974DCA"/>
    <w:rsid w:val="009C38CC"/>
    <w:rsid w:val="009E10F7"/>
    <w:rsid w:val="00A05585"/>
    <w:rsid w:val="00A423C3"/>
    <w:rsid w:val="00AD70CA"/>
    <w:rsid w:val="00AF294D"/>
    <w:rsid w:val="00B06808"/>
    <w:rsid w:val="00C06A78"/>
    <w:rsid w:val="00C107BC"/>
    <w:rsid w:val="00C250AB"/>
    <w:rsid w:val="00C906BE"/>
    <w:rsid w:val="00D277F3"/>
    <w:rsid w:val="00D323A6"/>
    <w:rsid w:val="00D36440"/>
    <w:rsid w:val="00DE7CF5"/>
    <w:rsid w:val="00E07BEB"/>
    <w:rsid w:val="00E1462C"/>
    <w:rsid w:val="00E45822"/>
    <w:rsid w:val="00E837CC"/>
    <w:rsid w:val="00EA2C40"/>
    <w:rsid w:val="00ED089A"/>
    <w:rsid w:val="00EE6E74"/>
    <w:rsid w:val="00F34C42"/>
    <w:rsid w:val="00F41235"/>
    <w:rsid w:val="00F44471"/>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26</Pages>
  <Words>6626</Words>
  <Characters>39759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22-11-17_Drugi_Przetarg_Narutowicza_19_Sienkiewicza _15_27,43_m2_lokal_uzytkowy</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23-02-23_Pierwszy_Przetarg_Narutowicza_19_Sienkiewicza_15_23,14_m2_lokal_uzytkowy</dc:title>
  <dc:subject/>
  <dc:creator>Hanna Komar</dc:creator>
  <cp:keywords/>
  <dc:description/>
  <cp:lastModifiedBy>Hanna Komar</cp:lastModifiedBy>
  <cp:revision>27</cp:revision>
  <dcterms:created xsi:type="dcterms:W3CDTF">2022-02-08T11:44:00Z</dcterms:created>
  <dcterms:modified xsi:type="dcterms:W3CDTF">2023-01-27T07:31:00Z</dcterms:modified>
</cp:coreProperties>
</file>