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68CE7AA" w:rsidR="003D143F" w:rsidRPr="00BC6A23" w:rsidRDefault="00227A0A" w:rsidP="00E837CC">
      <w:pPr>
        <w:pStyle w:val="Nagwek1"/>
        <w:spacing w:line="360" w:lineRule="auto"/>
        <w:rPr>
          <w:rFonts w:cstheme="majorHAnsi"/>
          <w:b/>
          <w:bCs/>
          <w:color w:val="auto"/>
          <w:sz w:val="28"/>
          <w:szCs w:val="28"/>
        </w:rPr>
      </w:pPr>
      <w:r w:rsidRPr="00BC6A23">
        <w:rPr>
          <w:rFonts w:cstheme="majorHAnsi"/>
          <w:b/>
          <w:bCs/>
          <w:color w:val="auto"/>
          <w:sz w:val="28"/>
          <w:szCs w:val="28"/>
        </w:rPr>
        <w:t xml:space="preserve">Ogłoszenie o </w:t>
      </w:r>
      <w:r w:rsidR="00CF360E" w:rsidRPr="00BC6A23">
        <w:rPr>
          <w:rFonts w:cstheme="majorHAnsi"/>
          <w:b/>
          <w:bCs/>
          <w:color w:val="auto"/>
          <w:sz w:val="28"/>
          <w:szCs w:val="28"/>
        </w:rPr>
        <w:t>drugim</w:t>
      </w:r>
      <w:r w:rsidRPr="00BC6A23">
        <w:rPr>
          <w:rFonts w:cstheme="majorHAnsi"/>
          <w:b/>
          <w:bCs/>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294A096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w:t>
      </w:r>
      <w:r w:rsidR="00EE6E74">
        <w:rPr>
          <w:rFonts w:asciiTheme="majorHAnsi" w:hAnsiTheme="majorHAnsi" w:cstheme="majorHAnsi"/>
          <w:sz w:val="24"/>
          <w:szCs w:val="24"/>
        </w:rPr>
        <w:t>3,14</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handlowo – usługowego, zaplecza, oraz pomieszczenia wc</w:t>
      </w:r>
      <w:r w:rsidR="00C107BC" w:rsidRPr="004B619D">
        <w:rPr>
          <w:rFonts w:asciiTheme="majorHAnsi" w:hAnsiTheme="majorHAnsi" w:cstheme="majorHAnsi"/>
          <w:sz w:val="24"/>
          <w:szCs w:val="24"/>
        </w:rPr>
        <w:t>. Wyposażony jest w instalację wodno-kanalizacyjną, instalację elektryczną.</w:t>
      </w:r>
    </w:p>
    <w:p w14:paraId="4439DC8B" w14:textId="49A3CB7D"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sidR="00672CFB">
        <w:rPr>
          <w:rFonts w:asciiTheme="majorHAnsi" w:hAnsiTheme="majorHAnsi" w:cstheme="majorHAnsi"/>
          <w:sz w:val="24"/>
          <w:szCs w:val="24"/>
        </w:rPr>
        <w:t>b</w:t>
      </w:r>
      <w:r w:rsidR="00802093">
        <w:rPr>
          <w:rFonts w:asciiTheme="majorHAnsi" w:hAnsiTheme="majorHAnsi" w:cstheme="majorHAnsi"/>
          <w:sz w:val="24"/>
          <w:szCs w:val="24"/>
        </w:rPr>
        <w:t>rak</w:t>
      </w:r>
      <w:r w:rsidRPr="003D143F">
        <w:rPr>
          <w:rFonts w:asciiTheme="majorHAnsi" w:hAnsiTheme="majorHAnsi" w:cstheme="majorHAnsi"/>
          <w:sz w:val="24"/>
          <w:szCs w:val="24"/>
        </w:rPr>
        <w:t>.</w:t>
      </w:r>
    </w:p>
    <w:p w14:paraId="478C1A8A" w14:textId="77777777"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w:t>
      </w:r>
    </w:p>
    <w:p w14:paraId="7ACEAB91" w14:textId="2520B674"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Zakres prac remontowych do wykonania w przedmiotowym lokalu użytkowym obciążających przyszłego najemcę obejmuje: częściowa naprawa tynków ścian i malowanie całego lokalu,</w:t>
      </w:r>
      <w:r w:rsidR="00EE6E74">
        <w:rPr>
          <w:rFonts w:asciiTheme="majorHAnsi" w:hAnsiTheme="majorHAnsi" w:cstheme="majorHAnsi"/>
          <w:sz w:val="24"/>
          <w:szCs w:val="24"/>
        </w:rPr>
        <w:t xml:space="preserve"> montaż muszli sedesowej wraz ze spłuczką oraz umywalki z baterią; wymiana płytek ceramicznych w pierwszym pomieszczeniu oraz paneli w pozostałych;</w:t>
      </w:r>
      <w:r w:rsidRPr="004B619D">
        <w:rPr>
          <w:rFonts w:asciiTheme="majorHAnsi" w:hAnsiTheme="majorHAnsi" w:cstheme="majorHAnsi"/>
          <w:sz w:val="24"/>
          <w:szCs w:val="24"/>
        </w:rPr>
        <w:t xml:space="preserve"> wyposażenie lokalu w źródło grzewcze, przystosowanie instalacji elektrycznej do własnych potrzeb,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7DFFE5C1"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CF360E">
        <w:rPr>
          <w:rFonts w:asciiTheme="majorHAnsi" w:hAnsiTheme="majorHAnsi" w:cstheme="majorHAnsi"/>
          <w:sz w:val="24"/>
          <w:szCs w:val="24"/>
        </w:rPr>
        <w:t>30</w:t>
      </w:r>
      <w:r w:rsidRPr="003D143F">
        <w:rPr>
          <w:rFonts w:asciiTheme="majorHAnsi" w:hAnsiTheme="majorHAnsi" w:cstheme="majorHAnsi"/>
          <w:sz w:val="24"/>
          <w:szCs w:val="24"/>
        </w:rPr>
        <w:t xml:space="preserve"> </w:t>
      </w:r>
      <w:r w:rsidR="00CF360E">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10</w:t>
      </w:r>
      <w:r w:rsidRPr="003D143F">
        <w:rPr>
          <w:rFonts w:asciiTheme="majorHAnsi" w:hAnsiTheme="majorHAnsi" w:cstheme="majorHAnsi"/>
          <w:sz w:val="24"/>
          <w:szCs w:val="24"/>
        </w:rPr>
        <w:t>:</w:t>
      </w:r>
      <w:r w:rsidR="00CF360E">
        <w:rPr>
          <w:rFonts w:asciiTheme="majorHAnsi" w:hAnsiTheme="majorHAnsi" w:cstheme="majorHAnsi"/>
          <w:sz w:val="24"/>
          <w:szCs w:val="24"/>
        </w:rPr>
        <w:t>0</w:t>
      </w:r>
      <w:r w:rsidRPr="003D143F">
        <w:rPr>
          <w:rFonts w:asciiTheme="majorHAnsi" w:hAnsiTheme="majorHAnsi" w:cstheme="majorHAnsi"/>
          <w:sz w:val="24"/>
          <w:szCs w:val="24"/>
        </w:rPr>
        <w:t>0</w:t>
      </w:r>
      <w:r w:rsidR="001E6840">
        <w:rPr>
          <w:rFonts w:asciiTheme="majorHAnsi" w:hAnsiTheme="majorHAnsi" w:cstheme="majorHAnsi"/>
          <w:sz w:val="24"/>
          <w:szCs w:val="24"/>
        </w:rPr>
        <w:t xml:space="preserve"> pokój nr 26</w:t>
      </w:r>
      <w:r w:rsidRPr="003D143F">
        <w:rPr>
          <w:rFonts w:asciiTheme="majorHAnsi" w:hAnsiTheme="majorHAnsi" w:cstheme="majorHAnsi"/>
          <w:sz w:val="24"/>
          <w:szCs w:val="24"/>
        </w:rPr>
        <w:t xml:space="preserve"> – Budynek B</w:t>
      </w:r>
      <w:r w:rsidR="001162D7">
        <w:rPr>
          <w:rFonts w:asciiTheme="majorHAnsi" w:hAnsiTheme="majorHAnsi" w:cstheme="majorHAnsi"/>
          <w:sz w:val="24"/>
          <w:szCs w:val="24"/>
        </w:rPr>
        <w:t>,</w:t>
      </w:r>
      <w:r w:rsidRPr="003D143F">
        <w:rPr>
          <w:rFonts w:asciiTheme="majorHAnsi" w:hAnsiTheme="majorHAnsi" w:cstheme="majorHAnsi"/>
          <w:sz w:val="24"/>
          <w:szCs w:val="24"/>
        </w:rPr>
        <w:t>.</w:t>
      </w:r>
    </w:p>
    <w:p w14:paraId="646C8EFC" w14:textId="03A6CC5D" w:rsidR="00CF360E" w:rsidRDefault="00CF360E" w:rsidP="00CF360E">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 xml:space="preserve">Przeprowadzone przetargi na oddanie w najem przedmiotowego lokalu użytkowego: pierwszy przetarg w dniu 23.02.2023 r. zakończony został wynikiem </w:t>
      </w:r>
      <w:r w:rsidR="001A605B">
        <w:rPr>
          <w:rFonts w:asciiTheme="majorHAnsi" w:hAnsiTheme="majorHAnsi" w:cstheme="majorHAnsi"/>
          <w:sz w:val="24"/>
          <w:szCs w:val="24"/>
        </w:rPr>
        <w:t>negatywnym.</w:t>
      </w:r>
    </w:p>
    <w:p w14:paraId="7D5A67C6" w14:textId="4E61F8D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EE6E74">
        <w:rPr>
          <w:rFonts w:asciiTheme="majorHAnsi" w:hAnsiTheme="majorHAnsi" w:cstheme="majorHAnsi"/>
          <w:sz w:val="24"/>
          <w:szCs w:val="24"/>
        </w:rPr>
        <w:t>6</w:t>
      </w:r>
      <w:r w:rsidR="00CF360E">
        <w:rPr>
          <w:rFonts w:asciiTheme="majorHAnsi" w:hAnsiTheme="majorHAnsi" w:cstheme="majorHAnsi"/>
          <w:sz w:val="24"/>
          <w:szCs w:val="24"/>
        </w:rPr>
        <w:t>71,06</w:t>
      </w:r>
      <w:r w:rsidRPr="003D143F">
        <w:rPr>
          <w:rFonts w:asciiTheme="majorHAnsi" w:hAnsiTheme="majorHAnsi" w:cstheme="majorHAnsi"/>
          <w:sz w:val="24"/>
          <w:szCs w:val="24"/>
        </w:rPr>
        <w:t xml:space="preserve"> </w:t>
      </w:r>
      <w:r w:rsidR="00F842CD">
        <w:rPr>
          <w:rFonts w:asciiTheme="majorHAnsi" w:hAnsiTheme="majorHAnsi" w:cstheme="majorHAnsi"/>
          <w:sz w:val="24"/>
          <w:szCs w:val="24"/>
        </w:rPr>
        <w:t>zł</w:t>
      </w:r>
      <w:r w:rsidRPr="003D143F">
        <w:rPr>
          <w:rFonts w:asciiTheme="majorHAnsi" w:hAnsiTheme="majorHAnsi" w:cstheme="majorHAnsi"/>
          <w:sz w:val="24"/>
          <w:szCs w:val="24"/>
        </w:rPr>
        <w:t xml:space="preserve"> - jako miesięczny czynsz netto ustalony dla danego lokalu.</w:t>
      </w:r>
    </w:p>
    <w:p w14:paraId="104C1B1B" w14:textId="6959C0C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3154AD">
        <w:rPr>
          <w:rFonts w:asciiTheme="majorHAnsi" w:hAnsiTheme="majorHAnsi" w:cstheme="majorHAnsi"/>
          <w:sz w:val="24"/>
          <w:szCs w:val="24"/>
        </w:rPr>
        <w:t>6</w:t>
      </w:r>
      <w:r w:rsidR="00CF360E">
        <w:rPr>
          <w:rFonts w:asciiTheme="majorHAnsi" w:hAnsiTheme="majorHAnsi" w:cstheme="majorHAnsi"/>
          <w:sz w:val="24"/>
          <w:szCs w:val="24"/>
        </w:rPr>
        <w:t>71,06</w:t>
      </w:r>
      <w:r w:rsidRPr="003D143F">
        <w:rPr>
          <w:rFonts w:asciiTheme="majorHAnsi" w:hAnsiTheme="majorHAnsi" w:cstheme="majorHAnsi"/>
          <w:sz w:val="24"/>
          <w:szCs w:val="24"/>
        </w:rPr>
        <w:t xml:space="preserve"> zł, (słownie złotych: </w:t>
      </w:r>
      <w:r w:rsidR="002E23E2">
        <w:rPr>
          <w:rFonts w:asciiTheme="majorHAnsi" w:hAnsiTheme="majorHAnsi" w:cstheme="majorHAnsi"/>
          <w:sz w:val="24"/>
          <w:szCs w:val="24"/>
        </w:rPr>
        <w:t>s</w:t>
      </w:r>
      <w:r w:rsidR="003154AD">
        <w:rPr>
          <w:rFonts w:asciiTheme="majorHAnsi" w:hAnsiTheme="majorHAnsi" w:cstheme="majorHAnsi"/>
          <w:sz w:val="24"/>
          <w:szCs w:val="24"/>
        </w:rPr>
        <w:t xml:space="preserve">ześćset </w:t>
      </w:r>
      <w:r w:rsidR="00CF360E">
        <w:rPr>
          <w:rFonts w:asciiTheme="majorHAnsi" w:hAnsiTheme="majorHAnsi" w:cstheme="majorHAnsi"/>
          <w:sz w:val="24"/>
          <w:szCs w:val="24"/>
        </w:rPr>
        <w:t xml:space="preserve">siedemdziesiąt jeden </w:t>
      </w:r>
      <w:r w:rsidRPr="003D143F">
        <w:rPr>
          <w:rFonts w:asciiTheme="majorHAnsi" w:hAnsiTheme="majorHAnsi" w:cstheme="majorHAnsi"/>
          <w:sz w:val="24"/>
          <w:szCs w:val="24"/>
        </w:rPr>
        <w:t>złot</w:t>
      </w:r>
      <w:r w:rsidR="00CF360E">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F360E">
        <w:rPr>
          <w:rFonts w:asciiTheme="majorHAnsi" w:hAnsiTheme="majorHAnsi" w:cstheme="majorHAnsi"/>
          <w:sz w:val="24"/>
          <w:szCs w:val="24"/>
        </w:rPr>
        <w:t>06</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CF360E">
        <w:rPr>
          <w:rFonts w:asciiTheme="majorHAnsi" w:hAnsiTheme="majorHAnsi" w:cstheme="majorHAnsi"/>
          <w:sz w:val="24"/>
          <w:szCs w:val="24"/>
        </w:rPr>
        <w:t>24</w:t>
      </w:r>
      <w:r w:rsidRPr="003D143F">
        <w:rPr>
          <w:rFonts w:asciiTheme="majorHAnsi" w:hAnsiTheme="majorHAnsi" w:cstheme="majorHAnsi"/>
          <w:sz w:val="24"/>
          <w:szCs w:val="24"/>
        </w:rPr>
        <w:t xml:space="preserve"> </w:t>
      </w:r>
      <w:r w:rsidR="00CF360E">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289A0E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1A605B">
        <w:rPr>
          <w:rFonts w:asciiTheme="majorHAnsi" w:hAnsiTheme="majorHAnsi" w:cstheme="majorHAnsi"/>
          <w:sz w:val="24"/>
          <w:szCs w:val="24"/>
        </w:rPr>
        <w:t>24</w:t>
      </w:r>
      <w:r w:rsidRPr="003D143F">
        <w:rPr>
          <w:rFonts w:asciiTheme="majorHAnsi" w:hAnsiTheme="majorHAnsi" w:cstheme="majorHAnsi"/>
          <w:sz w:val="24"/>
          <w:szCs w:val="24"/>
        </w:rPr>
        <w:t xml:space="preserve"> </w:t>
      </w:r>
      <w:r w:rsidR="001A605B">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3419A91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1A605B">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3154AD">
        <w:rPr>
          <w:rFonts w:asciiTheme="majorHAnsi" w:hAnsiTheme="majorHAnsi" w:cstheme="majorHAnsi"/>
          <w:sz w:val="24"/>
          <w:szCs w:val="24"/>
        </w:rPr>
        <w:t>3,14</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5F4FAB5"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DE7CF5">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DE7CF5">
        <w:rPr>
          <w:rFonts w:asciiTheme="majorHAnsi" w:hAnsiTheme="majorHAnsi" w:cstheme="majorHAnsi"/>
          <w:sz w:val="24"/>
          <w:szCs w:val="24"/>
        </w:rPr>
        <w:t>o</w:t>
      </w:r>
      <w:r w:rsidRPr="003D143F">
        <w:rPr>
          <w:rFonts w:asciiTheme="majorHAnsi" w:hAnsiTheme="majorHAnsi" w:cstheme="majorHAnsi"/>
          <w:sz w:val="24"/>
          <w:szCs w:val="24"/>
        </w:rPr>
        <w:t>w</w:t>
      </w:r>
      <w:r w:rsidR="00DE7CF5">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DE7CF5">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0115F24" w:rsidR="003D143F" w:rsidRPr="00BC6A23" w:rsidRDefault="003D143F" w:rsidP="00E837CC">
      <w:pPr>
        <w:pStyle w:val="Nagwek2"/>
        <w:spacing w:before="12120" w:line="360" w:lineRule="auto"/>
        <w:rPr>
          <w:rFonts w:cstheme="majorHAnsi"/>
          <w:b/>
          <w:bCs/>
          <w:color w:val="auto"/>
          <w:sz w:val="28"/>
          <w:szCs w:val="28"/>
        </w:rPr>
      </w:pPr>
      <w:r w:rsidRPr="00BC6A23">
        <w:rPr>
          <w:rFonts w:cstheme="majorHAnsi"/>
          <w:b/>
          <w:bCs/>
          <w:color w:val="auto"/>
          <w:sz w:val="28"/>
          <w:szCs w:val="28"/>
        </w:rPr>
        <w:lastRenderedPageBreak/>
        <w:t xml:space="preserve">Regulamin przetargu ustnego nieograniczonego na oddanie w najem lokalu użytkowego położonego w Piotrkowie Trybunalskim przy ulicy Narutowicza 19/Sienkiewicza 15, o powierzchni użytkowej </w:t>
      </w:r>
      <w:r w:rsidR="00974DCA" w:rsidRPr="00BC6A23">
        <w:rPr>
          <w:rFonts w:cstheme="majorHAnsi"/>
          <w:b/>
          <w:bCs/>
          <w:color w:val="auto"/>
          <w:sz w:val="28"/>
          <w:szCs w:val="28"/>
        </w:rPr>
        <w:t>2</w:t>
      </w:r>
      <w:r w:rsidR="00A05585" w:rsidRPr="00BC6A23">
        <w:rPr>
          <w:rFonts w:cstheme="majorHAnsi"/>
          <w:b/>
          <w:bCs/>
          <w:color w:val="auto"/>
          <w:sz w:val="28"/>
          <w:szCs w:val="28"/>
        </w:rPr>
        <w:t>3</w:t>
      </w:r>
      <w:r w:rsidR="00974DCA" w:rsidRPr="00BC6A23">
        <w:rPr>
          <w:rFonts w:cstheme="majorHAnsi"/>
          <w:b/>
          <w:bCs/>
          <w:color w:val="auto"/>
          <w:sz w:val="28"/>
          <w:szCs w:val="28"/>
        </w:rPr>
        <w:t>,</w:t>
      </w:r>
      <w:r w:rsidR="00A05585" w:rsidRPr="00BC6A23">
        <w:rPr>
          <w:rFonts w:cstheme="majorHAnsi"/>
          <w:b/>
          <w:bCs/>
          <w:color w:val="auto"/>
          <w:sz w:val="28"/>
          <w:szCs w:val="28"/>
        </w:rPr>
        <w:t>14</w:t>
      </w:r>
      <w:r w:rsidRPr="00BC6A23">
        <w:rPr>
          <w:rFonts w:cstheme="majorHAnsi"/>
          <w:b/>
          <w:bCs/>
          <w:color w:val="auto"/>
          <w:sz w:val="28"/>
          <w:szCs w:val="28"/>
        </w:rPr>
        <w:t xml:space="preserve"> m2.</w:t>
      </w:r>
    </w:p>
    <w:p w14:paraId="4B89C5BD" w14:textId="3D140E5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935A30">
        <w:rPr>
          <w:rFonts w:asciiTheme="majorHAnsi" w:hAnsiTheme="majorHAnsi" w:cstheme="majorHAnsi"/>
          <w:sz w:val="24"/>
          <w:szCs w:val="24"/>
        </w:rPr>
        <w:t>30</w:t>
      </w:r>
      <w:r w:rsidR="00A05585">
        <w:rPr>
          <w:rFonts w:asciiTheme="majorHAnsi" w:hAnsiTheme="majorHAnsi" w:cstheme="majorHAnsi"/>
          <w:sz w:val="24"/>
          <w:szCs w:val="24"/>
        </w:rPr>
        <w:t xml:space="preserve"> </w:t>
      </w:r>
      <w:r w:rsidR="00935A30">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10</w:t>
      </w:r>
      <w:r w:rsidRPr="003D143F">
        <w:rPr>
          <w:rFonts w:asciiTheme="majorHAnsi" w:hAnsiTheme="majorHAnsi" w:cstheme="majorHAnsi"/>
          <w:sz w:val="24"/>
          <w:szCs w:val="24"/>
        </w:rPr>
        <w:t>:</w:t>
      </w:r>
      <w:r w:rsidR="00935A30">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40D93DD6"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A05585">
        <w:rPr>
          <w:rFonts w:asciiTheme="majorHAnsi" w:hAnsiTheme="majorHAnsi" w:cstheme="majorHAnsi"/>
          <w:sz w:val="24"/>
          <w:szCs w:val="24"/>
        </w:rPr>
        <w:t>3</w:t>
      </w:r>
      <w:r w:rsidR="00974DCA">
        <w:rPr>
          <w:rFonts w:asciiTheme="majorHAnsi" w:hAnsiTheme="majorHAnsi" w:cstheme="majorHAnsi"/>
          <w:sz w:val="24"/>
          <w:szCs w:val="24"/>
        </w:rPr>
        <w:t>,</w:t>
      </w:r>
      <w:r w:rsidR="00A05585">
        <w:rPr>
          <w:rFonts w:asciiTheme="majorHAnsi" w:hAnsiTheme="majorHAnsi" w:cstheme="majorHAnsi"/>
          <w:sz w:val="24"/>
          <w:szCs w:val="24"/>
        </w:rPr>
        <w:t>14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7898D214"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C06A78">
        <w:rPr>
          <w:rFonts w:asciiTheme="majorHAnsi" w:hAnsiTheme="majorHAnsi" w:cstheme="majorHAnsi"/>
          <w:sz w:val="24"/>
          <w:szCs w:val="24"/>
        </w:rPr>
        <w:t>3</w:t>
      </w:r>
      <w:r w:rsidR="006D5F3F">
        <w:rPr>
          <w:rFonts w:asciiTheme="majorHAnsi" w:hAnsiTheme="majorHAnsi" w:cstheme="majorHAnsi"/>
          <w:sz w:val="24"/>
          <w:szCs w:val="24"/>
        </w:rPr>
        <w:t>,</w:t>
      </w:r>
      <w:r w:rsidR="00C06A78">
        <w:rPr>
          <w:rFonts w:asciiTheme="majorHAnsi" w:hAnsiTheme="majorHAnsi" w:cstheme="majorHAnsi"/>
          <w:sz w:val="24"/>
          <w:szCs w:val="24"/>
        </w:rPr>
        <w:t>14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19C830AD"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C06A78">
        <w:rPr>
          <w:rFonts w:asciiTheme="majorHAnsi" w:hAnsiTheme="majorHAnsi" w:cstheme="majorHAnsi"/>
          <w:sz w:val="24"/>
          <w:szCs w:val="24"/>
        </w:rPr>
        <w:t>6</w:t>
      </w:r>
      <w:r w:rsidR="00935A30">
        <w:rPr>
          <w:rFonts w:asciiTheme="majorHAnsi" w:hAnsiTheme="majorHAnsi" w:cstheme="majorHAnsi"/>
          <w:sz w:val="24"/>
          <w:szCs w:val="24"/>
        </w:rPr>
        <w:t>71,06</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3BA9C048"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C06A78">
        <w:rPr>
          <w:rFonts w:asciiTheme="majorHAnsi" w:hAnsiTheme="majorHAnsi" w:cstheme="majorHAnsi"/>
          <w:sz w:val="24"/>
          <w:szCs w:val="24"/>
        </w:rPr>
        <w:t>6</w:t>
      </w:r>
      <w:r w:rsidR="00935A30">
        <w:rPr>
          <w:rFonts w:asciiTheme="majorHAnsi" w:hAnsiTheme="majorHAnsi" w:cstheme="majorHAnsi"/>
          <w:sz w:val="24"/>
          <w:szCs w:val="24"/>
        </w:rPr>
        <w:t>71,06</w:t>
      </w:r>
      <w:r w:rsidRPr="003D143F">
        <w:rPr>
          <w:rFonts w:asciiTheme="majorHAnsi" w:hAnsiTheme="majorHAnsi" w:cstheme="majorHAnsi"/>
          <w:sz w:val="24"/>
          <w:szCs w:val="24"/>
        </w:rPr>
        <w:t xml:space="preserve"> zł, /słownie złotych: </w:t>
      </w:r>
      <w:r w:rsidR="00D323A6">
        <w:rPr>
          <w:rFonts w:asciiTheme="majorHAnsi" w:hAnsiTheme="majorHAnsi" w:cstheme="majorHAnsi"/>
          <w:sz w:val="24"/>
          <w:szCs w:val="24"/>
        </w:rPr>
        <w:t>s</w:t>
      </w:r>
      <w:r w:rsidR="00C06A78">
        <w:rPr>
          <w:rFonts w:asciiTheme="majorHAnsi" w:hAnsiTheme="majorHAnsi" w:cstheme="majorHAnsi"/>
          <w:sz w:val="24"/>
          <w:szCs w:val="24"/>
        </w:rPr>
        <w:t xml:space="preserve">ześćset </w:t>
      </w:r>
      <w:r w:rsidR="00935A30">
        <w:rPr>
          <w:rFonts w:asciiTheme="majorHAnsi" w:hAnsiTheme="majorHAnsi" w:cstheme="majorHAnsi"/>
          <w:sz w:val="24"/>
          <w:szCs w:val="24"/>
        </w:rPr>
        <w:t xml:space="preserve">siedemdziesiąt jeden </w:t>
      </w:r>
      <w:r w:rsidRPr="003D143F">
        <w:rPr>
          <w:rFonts w:asciiTheme="majorHAnsi" w:hAnsiTheme="majorHAnsi" w:cstheme="majorHAnsi"/>
          <w:sz w:val="24"/>
          <w:szCs w:val="24"/>
        </w:rPr>
        <w:t>złot</w:t>
      </w:r>
      <w:r w:rsidR="00935A3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935A30">
        <w:rPr>
          <w:rFonts w:asciiTheme="majorHAnsi" w:hAnsiTheme="majorHAnsi" w:cstheme="majorHAnsi"/>
          <w:sz w:val="24"/>
          <w:szCs w:val="24"/>
        </w:rPr>
        <w:t>06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46CEE4E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w:t>
      </w:r>
      <w:r w:rsidRPr="003D143F">
        <w:rPr>
          <w:rFonts w:asciiTheme="majorHAnsi" w:hAnsiTheme="majorHAnsi" w:cstheme="majorHAnsi"/>
          <w:sz w:val="24"/>
          <w:szCs w:val="24"/>
        </w:rPr>
        <w:lastRenderedPageBreak/>
        <w:t xml:space="preserve">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C06A78">
        <w:rPr>
          <w:rFonts w:asciiTheme="majorHAnsi" w:hAnsiTheme="majorHAnsi" w:cstheme="majorHAnsi"/>
          <w:sz w:val="24"/>
          <w:szCs w:val="24"/>
        </w:rPr>
        <w:t>3</w:t>
      </w:r>
      <w:r w:rsidR="006D5F3F">
        <w:rPr>
          <w:rFonts w:asciiTheme="majorHAnsi" w:hAnsiTheme="majorHAnsi" w:cstheme="majorHAnsi"/>
          <w:sz w:val="24"/>
          <w:szCs w:val="24"/>
        </w:rPr>
        <w:t>,</w:t>
      </w:r>
      <w:r w:rsidR="00C06A78">
        <w:rPr>
          <w:rFonts w:asciiTheme="majorHAnsi" w:hAnsiTheme="majorHAnsi" w:cstheme="majorHAnsi"/>
          <w:sz w:val="24"/>
          <w:szCs w:val="24"/>
        </w:rPr>
        <w:t>14</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BC6A23" w:rsidRDefault="001C45A7" w:rsidP="00E837CC">
      <w:pPr>
        <w:pStyle w:val="Nagwek2"/>
        <w:spacing w:before="8400" w:line="360" w:lineRule="auto"/>
        <w:rPr>
          <w:rFonts w:cstheme="majorHAnsi"/>
          <w:b/>
          <w:bCs/>
          <w:color w:val="auto"/>
          <w:sz w:val="28"/>
          <w:szCs w:val="28"/>
        </w:rPr>
      </w:pPr>
      <w:r w:rsidRPr="00BC6A23">
        <w:rPr>
          <w:rFonts w:cstheme="majorHAnsi"/>
          <w:b/>
          <w:bCs/>
          <w:color w:val="auto"/>
          <w:sz w:val="28"/>
          <w:szCs w:val="28"/>
        </w:rPr>
        <w:lastRenderedPageBreak/>
        <w:t>Umowa</w:t>
      </w:r>
      <w:r w:rsidR="003D143F" w:rsidRPr="00BC6A23">
        <w:rPr>
          <w:rFonts w:cstheme="majorHAnsi"/>
          <w:b/>
          <w:bCs/>
          <w:color w:val="auto"/>
          <w:sz w:val="28"/>
          <w:szCs w:val="28"/>
        </w:rPr>
        <w:t xml:space="preserve"> </w:t>
      </w:r>
      <w:r w:rsidRPr="00BC6A23">
        <w:rPr>
          <w:rFonts w:cstheme="majorHAnsi"/>
          <w:b/>
          <w:bCs/>
          <w:color w:val="auto"/>
          <w:sz w:val="28"/>
          <w:szCs w:val="28"/>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BC6A23" w:rsidRDefault="00F41235" w:rsidP="00E837CC">
      <w:pPr>
        <w:pStyle w:val="Nagwek2"/>
        <w:spacing w:before="14520" w:line="360" w:lineRule="auto"/>
        <w:rPr>
          <w:rFonts w:cstheme="majorHAnsi"/>
          <w:b/>
          <w:bCs/>
          <w:color w:val="auto"/>
          <w:sz w:val="28"/>
          <w:szCs w:val="28"/>
        </w:rPr>
      </w:pPr>
      <w:r w:rsidRPr="00BC6A23">
        <w:rPr>
          <w:rFonts w:cstheme="majorHAnsi"/>
          <w:b/>
          <w:bCs/>
          <w:color w:val="auto"/>
          <w:sz w:val="28"/>
          <w:szCs w:val="28"/>
        </w:rPr>
        <w:lastRenderedPageBreak/>
        <w:t>Załącznik</w:t>
      </w:r>
      <w:r w:rsidR="003D143F" w:rsidRPr="00BC6A23">
        <w:rPr>
          <w:rFonts w:cstheme="majorHAnsi"/>
          <w:b/>
          <w:bCs/>
          <w:color w:val="auto"/>
          <w:sz w:val="28"/>
          <w:szCs w:val="28"/>
        </w:rPr>
        <w:t xml:space="preserve"> </w:t>
      </w:r>
      <w:r w:rsidR="00162FE8" w:rsidRPr="00BC6A23">
        <w:rPr>
          <w:rFonts w:cstheme="majorHAnsi"/>
          <w:b/>
          <w:bCs/>
          <w:color w:val="auto"/>
          <w:sz w:val="28"/>
          <w:szCs w:val="28"/>
        </w:rPr>
        <w:t>Numer</w:t>
      </w:r>
      <w:r w:rsidR="003D143F" w:rsidRPr="00BC6A23">
        <w:rPr>
          <w:rFonts w:cstheme="majorHAnsi"/>
          <w:b/>
          <w:bCs/>
          <w:color w:val="auto"/>
          <w:sz w:val="28"/>
          <w:szCs w:val="28"/>
        </w:rPr>
        <w:t xml:space="preserve"> 1 do umowy najmu lokalu użytkowego położonego przy ulicy ………………….. w Piotrkowie Trybunalskim zawartej w dniu …............ </w:t>
      </w:r>
      <w:r w:rsidR="00796E42" w:rsidRPr="00BC6A23">
        <w:rPr>
          <w:rFonts w:cstheme="majorHAnsi"/>
          <w:b/>
          <w:bCs/>
          <w:color w:val="auto"/>
          <w:sz w:val="28"/>
          <w:szCs w:val="28"/>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3469B840"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drugi etap to rozliczenie pomiędzy wskazaniami wodomierza głównego, a sumą wskazań wodomierzy lokalowych. Różnica zostaje naliczona proporcjonalnie do wskazań wodomierzy </w:t>
      </w:r>
      <w:r w:rsidRPr="003D143F">
        <w:rPr>
          <w:rFonts w:asciiTheme="majorHAnsi" w:hAnsiTheme="majorHAnsi" w:cstheme="majorHAnsi"/>
          <w:sz w:val="24"/>
          <w:szCs w:val="24"/>
        </w:rPr>
        <w:lastRenderedPageBreak/>
        <w:t>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BC6A23" w:rsidRDefault="00F41235" w:rsidP="00E837CC">
      <w:pPr>
        <w:pStyle w:val="Nagwek2"/>
        <w:spacing w:before="5040" w:line="360" w:lineRule="auto"/>
        <w:rPr>
          <w:rFonts w:cstheme="majorHAnsi"/>
          <w:b/>
          <w:bCs/>
          <w:color w:val="auto"/>
          <w:sz w:val="28"/>
          <w:szCs w:val="28"/>
        </w:rPr>
      </w:pPr>
      <w:r w:rsidRPr="00BC6A23">
        <w:rPr>
          <w:rStyle w:val="Nagwek2Znak"/>
          <w:rFonts w:cstheme="majorHAnsi"/>
          <w:b/>
          <w:bCs/>
          <w:color w:val="auto"/>
          <w:sz w:val="28"/>
          <w:szCs w:val="28"/>
        </w:rPr>
        <w:lastRenderedPageBreak/>
        <w:t>Oświadczenie z dnia</w:t>
      </w:r>
      <w:r w:rsidR="003D143F" w:rsidRPr="00BC6A23">
        <w:rPr>
          <w:rFonts w:cstheme="majorHAnsi"/>
          <w:b/>
          <w:bCs/>
          <w:color w:val="auto"/>
          <w:sz w:val="28"/>
          <w:szCs w:val="28"/>
        </w:rPr>
        <w:t xml:space="preserve"> </w:t>
      </w:r>
      <w:r w:rsidRPr="00BC6A23">
        <w:rPr>
          <w:rFonts w:cstheme="majorHAnsi"/>
          <w:b/>
          <w:bCs/>
          <w:color w:val="auto"/>
          <w:sz w:val="28"/>
          <w:szCs w:val="28"/>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335EF0E1"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w:t>
      </w:r>
      <w:r w:rsidR="00C06A78">
        <w:rPr>
          <w:rFonts w:asciiTheme="majorHAnsi" w:hAnsiTheme="majorHAnsi" w:cstheme="majorHAnsi"/>
          <w:sz w:val="24"/>
          <w:szCs w:val="24"/>
        </w:rPr>
        <w:t>3</w:t>
      </w:r>
      <w:r w:rsidR="00F34C42">
        <w:rPr>
          <w:rFonts w:asciiTheme="majorHAnsi" w:hAnsiTheme="majorHAnsi" w:cstheme="majorHAnsi"/>
          <w:sz w:val="24"/>
          <w:szCs w:val="24"/>
        </w:rPr>
        <w:t>,</w:t>
      </w:r>
      <w:r w:rsidR="00C06A78">
        <w:rPr>
          <w:rFonts w:asciiTheme="majorHAnsi" w:hAnsiTheme="majorHAnsi" w:cstheme="majorHAnsi"/>
          <w:sz w:val="24"/>
          <w:szCs w:val="24"/>
        </w:rPr>
        <w:t>14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7542E576" w14:textId="61236FE2" w:rsidR="008E7291" w:rsidRDefault="008E7291" w:rsidP="00C06A78">
      <w:pPr>
        <w:numPr>
          <w:ilvl w:val="0"/>
          <w:numId w:val="28"/>
        </w:numPr>
        <w:spacing w:line="360" w:lineRule="auto"/>
        <w:ind w:left="0"/>
        <w:rPr>
          <w:rFonts w:asciiTheme="majorHAnsi" w:hAnsiTheme="majorHAnsi" w:cstheme="majorHAnsi"/>
          <w:sz w:val="24"/>
          <w:szCs w:val="24"/>
        </w:rPr>
      </w:pPr>
      <w:r w:rsidRPr="00C06A78">
        <w:rPr>
          <w:rFonts w:asciiTheme="majorHAnsi" w:hAnsiTheme="majorHAnsi" w:cstheme="majorHAnsi"/>
          <w:sz w:val="24"/>
          <w:szCs w:val="24"/>
        </w:rPr>
        <w:t>częściowa naprawa tynków ścian i malowanie całego lokalu,</w:t>
      </w:r>
    </w:p>
    <w:p w14:paraId="27882E3C" w14:textId="679C2AA0" w:rsidR="00C06A78" w:rsidRDefault="00C06A7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muszli sedesowej wraz ze spłuczką oraz umywalki z baterią,</w:t>
      </w:r>
    </w:p>
    <w:p w14:paraId="6D1C34FC" w14:textId="065D46CE" w:rsidR="00C06A78" w:rsidRPr="00C06A78" w:rsidRDefault="00C06A7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płytek ceramicznych w pierwszym pomieszczeniu</w:t>
      </w:r>
      <w:r w:rsidR="006F1D0A">
        <w:rPr>
          <w:rFonts w:asciiTheme="majorHAnsi" w:hAnsiTheme="majorHAnsi" w:cstheme="majorHAnsi"/>
          <w:sz w:val="24"/>
          <w:szCs w:val="24"/>
        </w:rPr>
        <w:t xml:space="preserve"> + paneli w pozostałych,</w:t>
      </w:r>
    </w:p>
    <w:p w14:paraId="2269D056" w14:textId="5B22AF48"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własnych potrzeb,</w:t>
      </w:r>
    </w:p>
    <w:p w14:paraId="1710C7D7" w14:textId="755EAB06" w:rsidR="008E7291" w:rsidRPr="006F1D0A" w:rsidRDefault="008E7291" w:rsidP="006F1D0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BC6A23" w:rsidRDefault="00F41235" w:rsidP="00E837CC">
      <w:pPr>
        <w:pStyle w:val="Nagwek2"/>
        <w:spacing w:before="3120" w:line="360" w:lineRule="auto"/>
        <w:rPr>
          <w:rFonts w:cstheme="majorHAnsi"/>
          <w:b/>
          <w:bCs/>
          <w:color w:val="auto"/>
          <w:sz w:val="28"/>
          <w:szCs w:val="28"/>
        </w:rPr>
      </w:pPr>
      <w:r w:rsidRPr="00BC6A23">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2B4673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6F1D0A">
        <w:rPr>
          <w:rFonts w:asciiTheme="majorHAnsi" w:hAnsiTheme="majorHAnsi" w:cstheme="majorHAnsi"/>
          <w:sz w:val="24"/>
          <w:szCs w:val="24"/>
        </w:rPr>
        <w:t>3</w:t>
      </w:r>
      <w:r w:rsidR="005D6B18">
        <w:rPr>
          <w:rFonts w:asciiTheme="majorHAnsi" w:hAnsiTheme="majorHAnsi" w:cstheme="majorHAnsi"/>
          <w:sz w:val="24"/>
          <w:szCs w:val="24"/>
        </w:rPr>
        <w:t>,</w:t>
      </w:r>
      <w:r w:rsidR="006F1D0A">
        <w:rPr>
          <w:rFonts w:asciiTheme="majorHAnsi" w:hAnsiTheme="majorHAnsi" w:cstheme="majorHAnsi"/>
          <w:sz w:val="24"/>
          <w:szCs w:val="24"/>
        </w:rPr>
        <w:t>14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62FE8"/>
    <w:rsid w:val="001A605B"/>
    <w:rsid w:val="001C45A7"/>
    <w:rsid w:val="001E6840"/>
    <w:rsid w:val="001F4CEB"/>
    <w:rsid w:val="002057FF"/>
    <w:rsid w:val="002130C9"/>
    <w:rsid w:val="00227A0A"/>
    <w:rsid w:val="00235934"/>
    <w:rsid w:val="0028211A"/>
    <w:rsid w:val="002904F0"/>
    <w:rsid w:val="002E1F70"/>
    <w:rsid w:val="002E23E2"/>
    <w:rsid w:val="002F081F"/>
    <w:rsid w:val="003154AD"/>
    <w:rsid w:val="003357A3"/>
    <w:rsid w:val="003D143F"/>
    <w:rsid w:val="004828B4"/>
    <w:rsid w:val="00483B99"/>
    <w:rsid w:val="005371CE"/>
    <w:rsid w:val="00586B60"/>
    <w:rsid w:val="005D6B18"/>
    <w:rsid w:val="00672CFB"/>
    <w:rsid w:val="00691496"/>
    <w:rsid w:val="006A39A4"/>
    <w:rsid w:val="006D5F3F"/>
    <w:rsid w:val="006F1D0A"/>
    <w:rsid w:val="00796E42"/>
    <w:rsid w:val="007B08F3"/>
    <w:rsid w:val="00802093"/>
    <w:rsid w:val="0082128F"/>
    <w:rsid w:val="00831D58"/>
    <w:rsid w:val="00880886"/>
    <w:rsid w:val="008C42A9"/>
    <w:rsid w:val="008E7291"/>
    <w:rsid w:val="00930FF9"/>
    <w:rsid w:val="00935A30"/>
    <w:rsid w:val="00974DCA"/>
    <w:rsid w:val="009C38CC"/>
    <w:rsid w:val="009E10F7"/>
    <w:rsid w:val="009F09CA"/>
    <w:rsid w:val="00A05585"/>
    <w:rsid w:val="00A423C3"/>
    <w:rsid w:val="00AD70CA"/>
    <w:rsid w:val="00AF294D"/>
    <w:rsid w:val="00B06808"/>
    <w:rsid w:val="00BC6A23"/>
    <w:rsid w:val="00C06A78"/>
    <w:rsid w:val="00C107BC"/>
    <w:rsid w:val="00C250AB"/>
    <w:rsid w:val="00C906BE"/>
    <w:rsid w:val="00CB264C"/>
    <w:rsid w:val="00CF360E"/>
    <w:rsid w:val="00D277F3"/>
    <w:rsid w:val="00D323A6"/>
    <w:rsid w:val="00D36440"/>
    <w:rsid w:val="00DE7CF5"/>
    <w:rsid w:val="00E07BEB"/>
    <w:rsid w:val="00E1462C"/>
    <w:rsid w:val="00E45822"/>
    <w:rsid w:val="00E837CC"/>
    <w:rsid w:val="00EA2C40"/>
    <w:rsid w:val="00ED089A"/>
    <w:rsid w:val="00EE6E74"/>
    <w:rsid w:val="00F34C42"/>
    <w:rsid w:val="00F41235"/>
    <w:rsid w:val="00F44471"/>
    <w:rsid w:val="00F842CD"/>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CF360E"/>
    <w:rPr>
      <w:sz w:val="16"/>
      <w:szCs w:val="16"/>
    </w:rPr>
  </w:style>
  <w:style w:type="paragraph" w:styleId="Tekstkomentarza">
    <w:name w:val="annotation text"/>
    <w:basedOn w:val="Normalny"/>
    <w:link w:val="TekstkomentarzaZnak"/>
    <w:uiPriority w:val="99"/>
    <w:semiHidden/>
    <w:unhideWhenUsed/>
    <w:rsid w:val="00CF3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360E"/>
    <w:rPr>
      <w:sz w:val="20"/>
      <w:szCs w:val="20"/>
    </w:rPr>
  </w:style>
  <w:style w:type="paragraph" w:styleId="Tematkomentarza">
    <w:name w:val="annotation subject"/>
    <w:basedOn w:val="Tekstkomentarza"/>
    <w:next w:val="Tekstkomentarza"/>
    <w:link w:val="TematkomentarzaZnak"/>
    <w:uiPriority w:val="99"/>
    <w:semiHidden/>
    <w:unhideWhenUsed/>
    <w:rsid w:val="00CF360E"/>
    <w:rPr>
      <w:b/>
      <w:bCs/>
    </w:rPr>
  </w:style>
  <w:style w:type="character" w:customStyle="1" w:styleId="TematkomentarzaZnak">
    <w:name w:val="Temat komentarza Znak"/>
    <w:basedOn w:val="TekstkomentarzaZnak"/>
    <w:link w:val="Tematkomentarza"/>
    <w:uiPriority w:val="99"/>
    <w:semiHidden/>
    <w:rsid w:val="00CF3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26</Pages>
  <Words>6647</Words>
  <Characters>39883</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23-03-30_Drugi_Przetarg_Narutowicza_19_Sienkiewicza_15_23,14_m2_lokal_uzytkowy</vt:lpstr>
    </vt:vector>
  </TitlesOfParts>
  <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23-03-30 Drugi Przetarg Narutowicza 19 Sienkiewicza 15 23,14 m2 lokal uzytkowy</dc:title>
  <dc:subject/>
  <dc:creator>Hanna Komar</dc:creator>
  <cp:keywords/>
  <dc:description/>
  <cp:lastModifiedBy>Hanna Komar</cp:lastModifiedBy>
  <cp:revision>36</cp:revision>
  <dcterms:created xsi:type="dcterms:W3CDTF">2022-02-08T11:44:00Z</dcterms:created>
  <dcterms:modified xsi:type="dcterms:W3CDTF">2023-03-06T11:04:00Z</dcterms:modified>
</cp:coreProperties>
</file>